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59FF1" w14:textId="77777777" w:rsidR="002B6908" w:rsidRPr="00A744C2" w:rsidRDefault="002B6908" w:rsidP="006D5A4A">
      <w:pPr>
        <w:pStyle w:val="a9"/>
      </w:pPr>
      <w:r w:rsidRPr="00886DAF">
        <w:rPr>
          <w:rFonts w:hint="eastAsia"/>
        </w:rPr>
        <w:t>第一章</w:t>
      </w:r>
      <w:r w:rsidRPr="007A4CAF">
        <w:rPr>
          <w:rFonts w:hint="eastAsia"/>
          <w:b/>
        </w:rPr>
        <w:t>：</w:t>
      </w:r>
      <w:r w:rsidRPr="00886DAF">
        <w:rPr>
          <w:rFonts w:hint="eastAsia"/>
        </w:rPr>
        <w:t>二零</w:t>
      </w:r>
      <w:bookmarkStart w:id="0" w:name="_GoBack"/>
      <w:bookmarkEnd w:id="0"/>
      <w:r w:rsidRPr="00886DAF">
        <w:rPr>
          <w:rFonts w:hint="eastAsia"/>
        </w:rPr>
        <w:t>二</w:t>
      </w:r>
      <w:r>
        <w:rPr>
          <w:rFonts w:hint="eastAsia"/>
          <w:lang w:eastAsia="zh-HK"/>
        </w:rPr>
        <w:t>五</w:t>
      </w:r>
      <w:r w:rsidRPr="00886DAF">
        <w:rPr>
          <w:rFonts w:hint="eastAsia"/>
        </w:rPr>
        <w:t>年經濟表現的全面概況</w:t>
      </w:r>
    </w:p>
    <w:p w14:paraId="4AC5C434" w14:textId="77777777" w:rsidR="002B6908" w:rsidRPr="006D5A4A" w:rsidRDefault="002B6908" w:rsidP="006D5A4A">
      <w:pPr>
        <w:pStyle w:val="124"/>
      </w:pPr>
      <w:r w:rsidRPr="00E857F1">
        <w:rPr>
          <w:rFonts w:hint="eastAsia"/>
          <w:lang w:val="en-GB"/>
        </w:rPr>
        <w:t>摘要</w:t>
      </w:r>
    </w:p>
    <w:p w14:paraId="2004EF10" w14:textId="4C5E4240" w:rsidR="002B6908" w:rsidRPr="009B6044" w:rsidRDefault="002B6908" w:rsidP="00036FE0">
      <w:pPr>
        <w:pStyle w:val="a0"/>
        <w:rPr>
          <w:lang w:val="en-GB" w:eastAsia="zh-HK"/>
        </w:rPr>
      </w:pPr>
      <w:r w:rsidRPr="00C44740">
        <w:rPr>
          <w:rFonts w:hint="eastAsia"/>
        </w:rPr>
        <w:t>二零二五年香港經濟展現強勁韌性，儘管</w:t>
      </w:r>
      <w:r w:rsidR="00A64CBC">
        <w:rPr>
          <w:rFonts w:hint="eastAsia"/>
        </w:rPr>
        <w:t>年</w:t>
      </w:r>
      <w:r w:rsidR="00A56768">
        <w:rPr>
          <w:rFonts w:hint="eastAsia"/>
        </w:rPr>
        <w:t>內出現多次</w:t>
      </w:r>
      <w:r w:rsidRPr="00C44740">
        <w:rPr>
          <w:rFonts w:hint="eastAsia"/>
        </w:rPr>
        <w:t>環球貿易</w:t>
      </w:r>
      <w:r w:rsidR="00E178A1">
        <w:rPr>
          <w:rFonts w:hint="eastAsia"/>
          <w:lang w:val="en-GB"/>
        </w:rPr>
        <w:t>摩擦</w:t>
      </w:r>
      <w:r w:rsidR="00C941E7">
        <w:rPr>
          <w:rFonts w:hint="eastAsia"/>
          <w:lang w:eastAsia="zh-HK"/>
        </w:rPr>
        <w:t>升溫</w:t>
      </w:r>
      <w:r w:rsidR="00A56768">
        <w:rPr>
          <w:rFonts w:hint="eastAsia"/>
          <w:lang w:eastAsia="zh-HK"/>
        </w:rPr>
        <w:t>的情況，令不少</w:t>
      </w:r>
      <w:r w:rsidRPr="00C44740">
        <w:rPr>
          <w:rFonts w:hint="eastAsia"/>
        </w:rPr>
        <w:t>貿易往來</w:t>
      </w:r>
      <w:r w:rsidR="00D735C4">
        <w:rPr>
          <w:rFonts w:hint="eastAsia"/>
          <w:lang w:eastAsia="zh-HK"/>
        </w:rPr>
        <w:t>的</w:t>
      </w:r>
      <w:r w:rsidRPr="00C44740">
        <w:rPr>
          <w:rFonts w:hint="eastAsia"/>
        </w:rPr>
        <w:t>關稅</w:t>
      </w:r>
      <w:r w:rsidR="00D735C4">
        <w:rPr>
          <w:rFonts w:hint="eastAsia"/>
          <w:lang w:eastAsia="zh-HK"/>
        </w:rPr>
        <w:t>提高</w:t>
      </w:r>
      <w:r w:rsidRPr="00C44740">
        <w:rPr>
          <w:rFonts w:hint="eastAsia"/>
        </w:rPr>
        <w:t>。實質本地生產總值</w:t>
      </w:r>
      <w:r w:rsidR="00B61119">
        <w:t> </w:t>
      </w:r>
      <w:r w:rsidRPr="002E1C3E">
        <w:rPr>
          <w:rFonts w:hint="eastAsia"/>
          <w:vertAlign w:val="superscript"/>
        </w:rPr>
        <w:t>(1)</w:t>
      </w:r>
      <w:r w:rsidR="00C941E7">
        <w:rPr>
          <w:rFonts w:hint="eastAsia"/>
        </w:rPr>
        <w:t>在</w:t>
      </w:r>
      <w:r w:rsidR="00C941E7" w:rsidRPr="00C44740">
        <w:rPr>
          <w:rFonts w:hint="eastAsia"/>
        </w:rPr>
        <w:t>二零二五年</w:t>
      </w:r>
      <w:r w:rsidR="00036FE0" w:rsidRPr="005259ED">
        <w:rPr>
          <w:rFonts w:hint="eastAsia"/>
        </w:rPr>
        <w:t>強勁</w:t>
      </w:r>
      <w:r w:rsidRPr="00C44740">
        <w:rPr>
          <w:rFonts w:hint="eastAsia"/>
        </w:rPr>
        <w:t>增長</w:t>
      </w:r>
      <w:r w:rsidR="00F1678F">
        <w:rPr>
          <w:lang w:val="en-GB"/>
        </w:rPr>
        <w:t>3.5%</w:t>
      </w:r>
      <w:r w:rsidRPr="00C44740">
        <w:rPr>
          <w:rFonts w:hint="eastAsia"/>
        </w:rPr>
        <w:t>，較</w:t>
      </w:r>
      <w:r w:rsidR="00D735C4">
        <w:rPr>
          <w:rFonts w:hint="eastAsia"/>
        </w:rPr>
        <w:t>前</w:t>
      </w:r>
      <w:r w:rsidRPr="00C44740">
        <w:rPr>
          <w:rFonts w:hint="eastAsia"/>
        </w:rPr>
        <w:t>一年</w:t>
      </w:r>
      <w:r w:rsidR="006068AE">
        <w:rPr>
          <w:rFonts w:hint="eastAsia"/>
          <w:lang w:eastAsia="zh-HK"/>
        </w:rPr>
        <w:t>的增</w:t>
      </w:r>
      <w:r w:rsidR="00370840">
        <w:rPr>
          <w:rFonts w:hint="eastAsia"/>
          <w:lang w:eastAsia="zh-HK"/>
        </w:rPr>
        <w:t>長</w:t>
      </w:r>
      <w:r w:rsidRPr="00C44740">
        <w:rPr>
          <w:rFonts w:hint="eastAsia"/>
        </w:rPr>
        <w:t>快，</w:t>
      </w:r>
      <w:r w:rsidR="00C941E7">
        <w:rPr>
          <w:rFonts w:hint="eastAsia"/>
        </w:rPr>
        <w:t>並</w:t>
      </w:r>
      <w:r w:rsidRPr="00C44740">
        <w:rPr>
          <w:rFonts w:hint="eastAsia"/>
        </w:rPr>
        <w:t>連續第三年</w:t>
      </w:r>
      <w:r w:rsidR="00370840">
        <w:rPr>
          <w:rFonts w:hint="eastAsia"/>
          <w:lang w:eastAsia="zh-HK"/>
        </w:rPr>
        <w:t>錄得</w:t>
      </w:r>
      <w:r w:rsidRPr="00C44740">
        <w:rPr>
          <w:rFonts w:hint="eastAsia"/>
        </w:rPr>
        <w:t>擴張。增長</w:t>
      </w:r>
      <w:r w:rsidR="00EE15F4">
        <w:rPr>
          <w:rFonts w:hint="eastAsia"/>
        </w:rPr>
        <w:t>動力在年內逐漸增強</w:t>
      </w:r>
      <w:r w:rsidRPr="00C44740">
        <w:rPr>
          <w:rFonts w:hint="eastAsia"/>
        </w:rPr>
        <w:t>，按年增</w:t>
      </w:r>
      <w:r w:rsidRPr="00C44740">
        <w:rPr>
          <w:rFonts w:hint="eastAsia"/>
          <w:lang w:eastAsia="zh-HK"/>
        </w:rPr>
        <w:t>長</w:t>
      </w:r>
      <w:r w:rsidR="00D735C4">
        <w:rPr>
          <w:rFonts w:hint="eastAsia"/>
          <w:lang w:eastAsia="zh-HK"/>
        </w:rPr>
        <w:t>由上半年的</w:t>
      </w:r>
      <w:r w:rsidRPr="00C44740">
        <w:rPr>
          <w:rFonts w:hint="eastAsia"/>
        </w:rPr>
        <w:t>3.2%</w:t>
      </w:r>
      <w:r w:rsidR="00D735C4">
        <w:rPr>
          <w:rFonts w:hint="eastAsia"/>
          <w:lang w:eastAsia="zh-HK"/>
        </w:rPr>
        <w:t>加快至第三季的</w:t>
      </w:r>
      <w:r w:rsidRPr="00C44740">
        <w:rPr>
          <w:rFonts w:hint="eastAsia"/>
        </w:rPr>
        <w:t>3.7%</w:t>
      </w:r>
      <w:r w:rsidRPr="00C44740">
        <w:rPr>
          <w:rFonts w:hint="eastAsia"/>
        </w:rPr>
        <w:t>和</w:t>
      </w:r>
      <w:r w:rsidR="00D735C4">
        <w:rPr>
          <w:rFonts w:hint="eastAsia"/>
          <w:lang w:eastAsia="zh-HK"/>
        </w:rPr>
        <w:t>第四季的</w:t>
      </w:r>
      <w:r w:rsidRPr="00C44740">
        <w:rPr>
          <w:rFonts w:hint="eastAsia"/>
        </w:rPr>
        <w:t>3.8%</w:t>
      </w:r>
      <w:r w:rsidRPr="00C44740">
        <w:rPr>
          <w:rFonts w:hint="eastAsia"/>
        </w:rPr>
        <w:t>。</w:t>
      </w:r>
    </w:p>
    <w:p w14:paraId="3F5782D6" w14:textId="0961789B" w:rsidR="00D735C4" w:rsidRPr="008A3E87" w:rsidRDefault="00265E5C" w:rsidP="00370840">
      <w:pPr>
        <w:pStyle w:val="a0"/>
        <w:rPr>
          <w:lang w:val="en-GB"/>
        </w:rPr>
      </w:pPr>
      <w:r>
        <w:rPr>
          <w:rFonts w:hint="eastAsia"/>
          <w:lang w:eastAsia="zh-HK"/>
        </w:rPr>
        <w:t>在</w:t>
      </w:r>
      <w:r w:rsidR="00CE5D8E" w:rsidRPr="00886D5B">
        <w:rPr>
          <w:rFonts w:hint="eastAsia"/>
          <w:lang w:eastAsia="zh-HK"/>
        </w:rPr>
        <w:t>環</w:t>
      </w:r>
      <w:r w:rsidR="00C0226B" w:rsidRPr="00C0226B">
        <w:rPr>
          <w:rFonts w:hint="eastAsia"/>
          <w:lang w:val="en-GB"/>
        </w:rPr>
        <w:t>球對人工智</w:t>
      </w:r>
      <w:r w:rsidR="00C0226B">
        <w:rPr>
          <w:rFonts w:hint="eastAsia"/>
          <w:lang w:val="en-GB"/>
        </w:rPr>
        <w:t>能</w:t>
      </w:r>
      <w:r w:rsidR="00C0226B" w:rsidRPr="00C0226B">
        <w:rPr>
          <w:rFonts w:hint="eastAsia"/>
          <w:lang w:val="en-GB"/>
        </w:rPr>
        <w:t>及其他新</w:t>
      </w:r>
      <w:r w:rsidR="00C0226B">
        <w:rPr>
          <w:rFonts w:hint="eastAsia"/>
          <w:lang w:val="en-GB"/>
        </w:rPr>
        <w:t>科技的</w:t>
      </w:r>
      <w:r w:rsidR="00CE5D8E">
        <w:rPr>
          <w:rFonts w:hint="eastAsia"/>
          <w:lang w:val="en-GB"/>
        </w:rPr>
        <w:t>龐</w:t>
      </w:r>
      <w:r w:rsidR="00C0226B">
        <w:rPr>
          <w:rFonts w:hint="eastAsia"/>
          <w:lang w:val="en-GB"/>
        </w:rPr>
        <w:t>大</w:t>
      </w:r>
      <w:r w:rsidR="00370840" w:rsidRPr="00370840">
        <w:rPr>
          <w:rFonts w:hint="eastAsia"/>
          <w:lang w:val="en-GB"/>
        </w:rPr>
        <w:t>投資</w:t>
      </w:r>
      <w:r>
        <w:rPr>
          <w:rFonts w:hint="eastAsia"/>
          <w:lang w:val="en-GB" w:eastAsia="zh-HK"/>
        </w:rPr>
        <w:t>下，</w:t>
      </w:r>
      <w:r w:rsidR="006068AE" w:rsidRPr="006068AE">
        <w:rPr>
          <w:rFonts w:hint="eastAsia"/>
          <w:lang w:val="en-GB"/>
        </w:rPr>
        <w:t>電子相關產品需求</w:t>
      </w:r>
      <w:r w:rsidR="00C0226B">
        <w:rPr>
          <w:rFonts w:hint="eastAsia"/>
          <w:lang w:val="en-GB"/>
        </w:rPr>
        <w:t>持續</w:t>
      </w:r>
      <w:r w:rsidR="00CE5D8E">
        <w:rPr>
          <w:rFonts w:hint="eastAsia"/>
          <w:lang w:val="en-GB"/>
        </w:rPr>
        <w:t>殷切</w:t>
      </w:r>
      <w:r w:rsidR="00370840">
        <w:rPr>
          <w:rFonts w:hint="eastAsia"/>
          <w:lang w:val="en-GB" w:eastAsia="zh-HK"/>
        </w:rPr>
        <w:t>，加上</w:t>
      </w:r>
      <w:r w:rsidR="006068AE" w:rsidRPr="006068AE">
        <w:rPr>
          <w:rFonts w:hint="eastAsia"/>
          <w:lang w:val="en-GB"/>
        </w:rPr>
        <w:t>區內貿易往來暢旺，帶動</w:t>
      </w:r>
      <w:r w:rsidR="006068AE">
        <w:rPr>
          <w:rFonts w:hint="eastAsia"/>
          <w:lang w:val="en-GB" w:eastAsia="zh-HK"/>
        </w:rPr>
        <w:t>香港的</w:t>
      </w:r>
      <w:r w:rsidR="006068AE" w:rsidRPr="006068AE">
        <w:rPr>
          <w:rFonts w:hint="eastAsia"/>
          <w:lang w:val="en-GB"/>
        </w:rPr>
        <w:t>整體貨物出口在二零二五年</w:t>
      </w:r>
      <w:r w:rsidR="00C0226B">
        <w:rPr>
          <w:rFonts w:hint="eastAsia"/>
          <w:lang w:val="en-GB"/>
        </w:rPr>
        <w:t>穩步上升</w:t>
      </w:r>
      <w:r w:rsidR="006068AE" w:rsidRPr="006068AE">
        <w:rPr>
          <w:rFonts w:hint="eastAsia"/>
          <w:lang w:val="en-GB"/>
        </w:rPr>
        <w:t>。</w:t>
      </w:r>
      <w:r w:rsidR="00A56768">
        <w:rPr>
          <w:rFonts w:hint="eastAsia"/>
          <w:lang w:val="en-GB"/>
        </w:rPr>
        <w:t>主要</w:t>
      </w:r>
      <w:r w:rsidR="006068AE" w:rsidRPr="006068AE">
        <w:rPr>
          <w:rFonts w:hint="eastAsia"/>
          <w:lang w:val="en-GB"/>
        </w:rPr>
        <w:t>受訪港旅遊業</w:t>
      </w:r>
      <w:r w:rsidR="00370840" w:rsidRPr="00471488">
        <w:rPr>
          <w:rFonts w:hint="eastAsia"/>
          <w:lang w:val="en-GB"/>
        </w:rPr>
        <w:t>和跨境運輸量</w:t>
      </w:r>
      <w:r w:rsidR="006068AE" w:rsidRPr="006068AE">
        <w:rPr>
          <w:rFonts w:hint="eastAsia"/>
          <w:lang w:val="en-GB"/>
        </w:rPr>
        <w:t>持續增長</w:t>
      </w:r>
      <w:r>
        <w:rPr>
          <w:rFonts w:hint="eastAsia"/>
          <w:lang w:val="en-GB" w:eastAsia="zh-HK"/>
        </w:rPr>
        <w:t>，以</w:t>
      </w:r>
      <w:r w:rsidR="006068AE" w:rsidRPr="006068AE">
        <w:rPr>
          <w:rFonts w:hint="eastAsia"/>
          <w:lang w:val="en-GB"/>
        </w:rPr>
        <w:t>及跨境金融服務活動</w:t>
      </w:r>
      <w:r w:rsidR="00370840">
        <w:rPr>
          <w:rFonts w:hint="eastAsia"/>
          <w:lang w:val="en-GB" w:eastAsia="zh-HK"/>
        </w:rPr>
        <w:t>暢旺</w:t>
      </w:r>
      <w:r w:rsidR="006068AE" w:rsidRPr="006068AE">
        <w:rPr>
          <w:rFonts w:hint="eastAsia"/>
          <w:lang w:val="en-GB"/>
        </w:rPr>
        <w:t>所支持，服務輸出</w:t>
      </w:r>
      <w:r>
        <w:rPr>
          <w:rFonts w:hint="eastAsia"/>
          <w:lang w:val="en-GB" w:eastAsia="zh-HK"/>
        </w:rPr>
        <w:t>亦</w:t>
      </w:r>
      <w:r w:rsidR="00370840" w:rsidRPr="00471488">
        <w:rPr>
          <w:rFonts w:hint="eastAsia"/>
          <w:lang w:val="en-GB"/>
        </w:rPr>
        <w:t>在二零二五年</w:t>
      </w:r>
      <w:r w:rsidR="00942641">
        <w:rPr>
          <w:rFonts w:hint="eastAsia"/>
          <w:lang w:val="en-GB" w:eastAsia="zh-HK"/>
        </w:rPr>
        <w:t>明</w:t>
      </w:r>
      <w:r w:rsidR="00370840">
        <w:rPr>
          <w:rFonts w:hint="eastAsia"/>
          <w:lang w:val="en-GB" w:eastAsia="zh-HK"/>
        </w:rPr>
        <w:t>顯</w:t>
      </w:r>
      <w:r w:rsidR="00370840" w:rsidRPr="00471488">
        <w:rPr>
          <w:rFonts w:hint="eastAsia"/>
          <w:lang w:val="en-GB"/>
        </w:rPr>
        <w:t>擴張</w:t>
      </w:r>
      <w:r w:rsidR="006068AE" w:rsidRPr="006068AE">
        <w:rPr>
          <w:rFonts w:hint="eastAsia"/>
          <w:lang w:val="en-GB"/>
        </w:rPr>
        <w:t>。</w:t>
      </w:r>
    </w:p>
    <w:p w14:paraId="15F4CCF3" w14:textId="18EC5281" w:rsidR="00003C89" w:rsidRPr="00003C89" w:rsidRDefault="002B6908" w:rsidP="00003C89">
      <w:pPr>
        <w:pStyle w:val="a0"/>
        <w:rPr>
          <w:lang w:val="en-HK"/>
        </w:rPr>
      </w:pPr>
      <w:r w:rsidRPr="000E60EC">
        <w:rPr>
          <w:rFonts w:hint="eastAsia"/>
          <w:lang w:val="en-GB" w:eastAsia="zh-HK"/>
        </w:rPr>
        <w:t>本地方面，</w:t>
      </w:r>
      <w:r w:rsidR="00C170B8">
        <w:rPr>
          <w:rFonts w:hint="eastAsia"/>
          <w:lang w:val="en-GB" w:eastAsia="zh-HK"/>
        </w:rPr>
        <w:t>在</w:t>
      </w:r>
      <w:r w:rsidR="000E60EC" w:rsidRPr="000E60EC">
        <w:rPr>
          <w:rFonts w:hint="eastAsia"/>
          <w:lang w:val="en-GB" w:eastAsia="zh-HK"/>
        </w:rPr>
        <w:t>本地消費市道逐步改善</w:t>
      </w:r>
      <w:r w:rsidR="00C170B8">
        <w:rPr>
          <w:rFonts w:hint="eastAsia"/>
          <w:lang w:val="en-GB" w:eastAsia="zh-HK"/>
        </w:rPr>
        <w:t>下</w:t>
      </w:r>
      <w:r w:rsidR="000E60EC" w:rsidRPr="000E60EC">
        <w:rPr>
          <w:rFonts w:hint="eastAsia"/>
          <w:lang w:val="en-GB" w:eastAsia="zh-HK"/>
        </w:rPr>
        <w:t>，私人消費開支在二零二五年</w:t>
      </w:r>
      <w:r w:rsidR="00DA4D9D">
        <w:rPr>
          <w:rFonts w:hint="eastAsia"/>
          <w:lang w:val="en-GB" w:eastAsia="zh-HK"/>
        </w:rPr>
        <w:t>恢復</w:t>
      </w:r>
      <w:r w:rsidR="000E60EC" w:rsidRPr="000E60EC">
        <w:rPr>
          <w:rFonts w:hint="eastAsia"/>
          <w:lang w:val="en-GB" w:eastAsia="zh-HK"/>
        </w:rPr>
        <w:t>輕微</w:t>
      </w:r>
      <w:r w:rsidR="00DA4D9D">
        <w:rPr>
          <w:rFonts w:hint="eastAsia"/>
          <w:lang w:val="en-GB" w:eastAsia="zh-HK"/>
        </w:rPr>
        <w:t>上升</w:t>
      </w:r>
      <w:r w:rsidR="000E60EC" w:rsidRPr="000E60EC">
        <w:rPr>
          <w:rFonts w:hint="eastAsia"/>
          <w:lang w:val="en-GB" w:eastAsia="zh-HK"/>
        </w:rPr>
        <w:t>。</w:t>
      </w:r>
      <w:bookmarkStart w:id="1" w:name="_Hlk221714556"/>
      <w:r w:rsidR="008E065E">
        <w:rPr>
          <w:rFonts w:hint="eastAsia"/>
          <w:lang w:val="en-GB" w:eastAsia="zh-HK"/>
        </w:rPr>
        <w:t>隨着</w:t>
      </w:r>
      <w:r w:rsidR="00003C89">
        <w:rPr>
          <w:rFonts w:hint="eastAsia"/>
          <w:lang w:val="en-GB" w:eastAsia="zh-HK"/>
        </w:rPr>
        <w:t>經濟擴張</w:t>
      </w:r>
      <w:r w:rsidR="00370840" w:rsidRPr="006068AE">
        <w:rPr>
          <w:rFonts w:hint="eastAsia"/>
          <w:lang w:val="en-GB"/>
        </w:rPr>
        <w:t>的態勢日益穩固</w:t>
      </w:r>
      <w:bookmarkEnd w:id="1"/>
      <w:r w:rsidR="00003C89">
        <w:rPr>
          <w:rFonts w:hint="eastAsia"/>
          <w:lang w:val="en-GB" w:eastAsia="zh-HK"/>
        </w:rPr>
        <w:t>，</w:t>
      </w:r>
      <w:r w:rsidR="00003C89" w:rsidRPr="00003C89">
        <w:rPr>
          <w:rFonts w:hint="eastAsia"/>
          <w:lang w:val="en-GB" w:eastAsia="zh-HK"/>
        </w:rPr>
        <w:t>整體投資開支</w:t>
      </w:r>
      <w:r w:rsidR="00003C89">
        <w:rPr>
          <w:rFonts w:hint="eastAsia"/>
          <w:lang w:val="en-GB" w:eastAsia="zh-HK"/>
        </w:rPr>
        <w:t>在</w:t>
      </w:r>
      <w:r w:rsidR="00003C89" w:rsidRPr="00003C89">
        <w:rPr>
          <w:rFonts w:hint="eastAsia"/>
          <w:lang w:val="en-GB" w:eastAsia="zh-HK"/>
        </w:rPr>
        <w:t>二零二五</w:t>
      </w:r>
      <w:r w:rsidR="001A5FB5">
        <w:rPr>
          <w:rFonts w:hint="eastAsia"/>
          <w:lang w:val="en-GB"/>
        </w:rPr>
        <w:t>年</w:t>
      </w:r>
      <w:r w:rsidR="00D4791A">
        <w:rPr>
          <w:rFonts w:hint="eastAsia"/>
          <w:lang w:val="en-GB" w:eastAsia="zh-HK"/>
        </w:rPr>
        <w:t>增長</w:t>
      </w:r>
      <w:r w:rsidR="00003C89" w:rsidRPr="00003C89">
        <w:rPr>
          <w:rFonts w:hint="eastAsia"/>
          <w:lang w:val="en-GB" w:eastAsia="zh-HK"/>
        </w:rPr>
        <w:t>加快。</w:t>
      </w:r>
    </w:p>
    <w:p w14:paraId="7C8DEBC0" w14:textId="1690C909" w:rsidR="002B6908" w:rsidRPr="000E60EC" w:rsidRDefault="008E065E" w:rsidP="008138EE">
      <w:pPr>
        <w:pStyle w:val="a0"/>
        <w:rPr>
          <w:lang w:val="en-HK"/>
        </w:rPr>
      </w:pPr>
      <w:r w:rsidRPr="008E065E">
        <w:rPr>
          <w:rFonts w:hint="eastAsia"/>
        </w:rPr>
        <w:t>勞工市場在二零二五年</w:t>
      </w:r>
      <w:r w:rsidR="00447F3D">
        <w:rPr>
          <w:rFonts w:hint="eastAsia"/>
        </w:rPr>
        <w:t>較後時間呈回穩</w:t>
      </w:r>
      <w:r w:rsidR="0005767D">
        <w:rPr>
          <w:rFonts w:hint="eastAsia"/>
        </w:rPr>
        <w:t>迹</w:t>
      </w:r>
      <w:r w:rsidR="00447F3D">
        <w:rPr>
          <w:rFonts w:hint="eastAsia"/>
        </w:rPr>
        <w:t>象</w:t>
      </w:r>
      <w:r w:rsidRPr="008E065E">
        <w:rPr>
          <w:rFonts w:hint="eastAsia"/>
        </w:rPr>
        <w:t>。經季節性調整的失業率由</w:t>
      </w:r>
      <w:r>
        <w:rPr>
          <w:rFonts w:hint="eastAsia"/>
          <w:lang w:eastAsia="zh-HK"/>
        </w:rPr>
        <w:t>一年</w:t>
      </w:r>
      <w:r w:rsidR="005259ED">
        <w:rPr>
          <w:rFonts w:hint="eastAsia"/>
          <w:lang w:eastAsia="zh-HK"/>
        </w:rPr>
        <w:t>前</w:t>
      </w:r>
      <w:r w:rsidR="00CF033E">
        <w:rPr>
          <w:rFonts w:hint="eastAsia"/>
        </w:rPr>
        <w:t>第四季</w:t>
      </w:r>
      <w:r w:rsidRPr="008E065E">
        <w:rPr>
          <w:rFonts w:hint="eastAsia"/>
        </w:rPr>
        <w:t>的</w:t>
      </w:r>
      <w:r w:rsidRPr="008E065E">
        <w:rPr>
          <w:rFonts w:hint="eastAsia"/>
        </w:rPr>
        <w:t>3.1%</w:t>
      </w:r>
      <w:r w:rsidR="00CF033E">
        <w:rPr>
          <w:rFonts w:hint="eastAsia"/>
        </w:rPr>
        <w:t>逐步</w:t>
      </w:r>
      <w:r w:rsidR="00CF033E" w:rsidRPr="0007170D">
        <w:rPr>
          <w:rFonts w:hint="eastAsia"/>
        </w:rPr>
        <w:t>上</w:t>
      </w:r>
      <w:r w:rsidR="00CF033E">
        <w:rPr>
          <w:rFonts w:hint="eastAsia"/>
          <w:lang w:eastAsia="zh-HK"/>
        </w:rPr>
        <w:t>升至</w:t>
      </w:r>
      <w:r w:rsidR="008671D6">
        <w:rPr>
          <w:rFonts w:hint="eastAsia"/>
          <w:lang w:eastAsia="zh-HK"/>
        </w:rPr>
        <w:t>二零二五年第三</w:t>
      </w:r>
      <w:r w:rsidR="00CF033E" w:rsidRPr="00CF6E3C">
        <w:rPr>
          <w:rFonts w:hint="eastAsia"/>
          <w:lang w:eastAsia="zh-HK"/>
        </w:rPr>
        <w:t>季的</w:t>
      </w:r>
      <w:r w:rsidR="00CF033E" w:rsidRPr="00CF6E3C">
        <w:rPr>
          <w:rFonts w:hint="eastAsia"/>
        </w:rPr>
        <w:t>3.</w:t>
      </w:r>
      <w:r w:rsidR="00CF033E">
        <w:rPr>
          <w:rFonts w:hint="eastAsia"/>
        </w:rPr>
        <w:t>9</w:t>
      </w:r>
      <w:r w:rsidR="00CF033E" w:rsidRPr="00CF6E3C">
        <w:t>%</w:t>
      </w:r>
      <w:r w:rsidR="00CF033E">
        <w:rPr>
          <w:rFonts w:hint="eastAsia"/>
          <w:lang w:eastAsia="zh-HK"/>
        </w:rPr>
        <w:t>，在</w:t>
      </w:r>
      <w:r w:rsidR="00CF033E">
        <w:rPr>
          <w:rFonts w:hint="eastAsia"/>
        </w:rPr>
        <w:t>第四季稍微回落</w:t>
      </w:r>
      <w:r w:rsidR="00CF033E" w:rsidRPr="00CF6E3C">
        <w:rPr>
          <w:rFonts w:hint="eastAsia"/>
          <w:lang w:eastAsia="zh-HK"/>
        </w:rPr>
        <w:t>至</w:t>
      </w:r>
      <w:r w:rsidR="00CF033E" w:rsidRPr="00CF6E3C">
        <w:t>3.</w:t>
      </w:r>
      <w:r w:rsidR="00CF033E">
        <w:rPr>
          <w:rFonts w:hint="eastAsia"/>
        </w:rPr>
        <w:t>8</w:t>
      </w:r>
      <w:r w:rsidR="00CF033E" w:rsidRPr="00CF6E3C">
        <w:rPr>
          <w:rFonts w:hint="eastAsia"/>
        </w:rPr>
        <w:t>%</w:t>
      </w:r>
      <w:r w:rsidR="00CF033E" w:rsidRPr="00CF6E3C">
        <w:rPr>
          <w:rFonts w:hint="eastAsia"/>
        </w:rPr>
        <w:t>。</w:t>
      </w:r>
      <w:r w:rsidRPr="008E065E">
        <w:rPr>
          <w:rFonts w:hint="eastAsia"/>
        </w:rPr>
        <w:t>就業不足率由一年</w:t>
      </w:r>
      <w:r w:rsidR="005259ED" w:rsidRPr="008E065E">
        <w:rPr>
          <w:rFonts w:hint="eastAsia"/>
        </w:rPr>
        <w:t>前</w:t>
      </w:r>
      <w:r w:rsidRPr="008E065E">
        <w:rPr>
          <w:rFonts w:hint="eastAsia"/>
        </w:rPr>
        <w:t>的</w:t>
      </w:r>
      <w:r w:rsidRPr="008E065E">
        <w:rPr>
          <w:rFonts w:hint="eastAsia"/>
        </w:rPr>
        <w:t>1.1%</w:t>
      </w:r>
      <w:r w:rsidRPr="008E065E">
        <w:rPr>
          <w:rFonts w:hint="eastAsia"/>
        </w:rPr>
        <w:t>上升至第四季的</w:t>
      </w:r>
      <w:r w:rsidRPr="008E065E">
        <w:rPr>
          <w:rFonts w:hint="eastAsia"/>
        </w:rPr>
        <w:t>1.7%</w:t>
      </w:r>
      <w:r w:rsidRPr="008E065E">
        <w:rPr>
          <w:rFonts w:hint="eastAsia"/>
        </w:rPr>
        <w:t>。就業收入</w:t>
      </w:r>
      <w:r w:rsidR="00025C1D">
        <w:rPr>
          <w:rFonts w:hint="eastAsia"/>
          <w:lang w:eastAsia="zh-HK"/>
        </w:rPr>
        <w:t>在</w:t>
      </w:r>
      <w:r w:rsidR="00CF033E" w:rsidRPr="00CF033E">
        <w:rPr>
          <w:rFonts w:hint="eastAsia"/>
          <w:lang w:eastAsia="zh-HK"/>
        </w:rPr>
        <w:t>年內繼續上升</w:t>
      </w:r>
      <w:r w:rsidRPr="008E065E">
        <w:rPr>
          <w:rFonts w:hint="eastAsia"/>
        </w:rPr>
        <w:t>。</w:t>
      </w:r>
    </w:p>
    <w:p w14:paraId="6B9A1032" w14:textId="0EDF0E58" w:rsidR="002B6908" w:rsidRDefault="002B6908" w:rsidP="00C10F61">
      <w:pPr>
        <w:pStyle w:val="a0"/>
      </w:pPr>
      <w:r w:rsidRPr="003B595E">
        <w:rPr>
          <w:rFonts w:hint="eastAsia"/>
        </w:rPr>
        <w:t>本地股票市場在二零二</w:t>
      </w:r>
      <w:r>
        <w:rPr>
          <w:rFonts w:hint="eastAsia"/>
          <w:lang w:eastAsia="zh-HK"/>
        </w:rPr>
        <w:t>五</w:t>
      </w:r>
      <w:r w:rsidRPr="003B595E">
        <w:rPr>
          <w:rFonts w:hint="eastAsia"/>
        </w:rPr>
        <w:t>年</w:t>
      </w:r>
      <w:r w:rsidR="006F2A1C" w:rsidRPr="006F2A1C">
        <w:rPr>
          <w:rFonts w:hint="eastAsia"/>
          <w:lang w:val="en-GB"/>
        </w:rPr>
        <w:t>表現強勁</w:t>
      </w:r>
      <w:r w:rsidRPr="003B595E">
        <w:rPr>
          <w:rFonts w:hint="eastAsia"/>
        </w:rPr>
        <w:t>。恒</w:t>
      </w:r>
      <w:r>
        <w:rPr>
          <w:rFonts w:hint="eastAsia"/>
          <w:lang w:eastAsia="zh-HK"/>
        </w:rPr>
        <w:t>生</w:t>
      </w:r>
      <w:r w:rsidRPr="003B595E">
        <w:rPr>
          <w:rFonts w:hint="eastAsia"/>
        </w:rPr>
        <w:t>指</w:t>
      </w:r>
      <w:r>
        <w:rPr>
          <w:rFonts w:hint="eastAsia"/>
          <w:lang w:eastAsia="zh-HK"/>
        </w:rPr>
        <w:t>數</w:t>
      </w:r>
      <w:r>
        <w:rPr>
          <w:rFonts w:hint="eastAsia"/>
        </w:rPr>
        <w:t>(</w:t>
      </w:r>
      <w:r w:rsidRPr="003B595E">
        <w:rPr>
          <w:rFonts w:hint="eastAsia"/>
        </w:rPr>
        <w:t>恒指</w:t>
      </w:r>
      <w:r>
        <w:rPr>
          <w:rFonts w:hint="eastAsia"/>
        </w:rPr>
        <w:t>)</w:t>
      </w:r>
      <w:r w:rsidRPr="003B595E">
        <w:rPr>
          <w:rFonts w:hint="eastAsia"/>
        </w:rPr>
        <w:t>在</w:t>
      </w:r>
      <w:r w:rsidR="006F2A1C" w:rsidRPr="006F2A1C">
        <w:rPr>
          <w:rFonts w:hint="eastAsia"/>
          <w:lang w:val="en-GB"/>
        </w:rPr>
        <w:t>年底收報</w:t>
      </w:r>
      <w:r w:rsidR="006F2A1C" w:rsidRPr="006F2A1C">
        <w:rPr>
          <w:lang w:val="en-GB"/>
        </w:rPr>
        <w:t>25</w:t>
      </w:r>
      <w:r w:rsidR="006F2A1C" w:rsidRPr="006F2A1C">
        <w:t> </w:t>
      </w:r>
      <w:r w:rsidR="006F2A1C" w:rsidRPr="006F2A1C">
        <w:rPr>
          <w:lang w:val="en-GB"/>
        </w:rPr>
        <w:t>631</w:t>
      </w:r>
      <w:r w:rsidR="006F2A1C" w:rsidRPr="006F2A1C">
        <w:rPr>
          <w:rFonts w:hint="eastAsia"/>
          <w:lang w:val="en-GB"/>
        </w:rPr>
        <w:t>點，全年計錄得</w:t>
      </w:r>
      <w:r w:rsidR="006F2A1C" w:rsidRPr="006F2A1C">
        <w:rPr>
          <w:rFonts w:hint="eastAsia"/>
          <w:lang w:val="en-GB"/>
        </w:rPr>
        <w:t>27.8%</w:t>
      </w:r>
      <w:r w:rsidR="006F2A1C" w:rsidRPr="006F2A1C">
        <w:rPr>
          <w:rFonts w:hint="eastAsia"/>
          <w:lang w:val="en-GB"/>
        </w:rPr>
        <w:t>的可觀升幅。交投活動非常活躍，平均每日成交額飆升</w:t>
      </w:r>
      <w:r w:rsidR="006F2A1C">
        <w:rPr>
          <w:rFonts w:hint="eastAsia"/>
          <w:lang w:val="en-GB" w:eastAsia="zh-HK"/>
        </w:rPr>
        <w:t>至</w:t>
      </w:r>
      <w:r w:rsidR="006F2A1C" w:rsidRPr="006F2A1C">
        <w:rPr>
          <w:rFonts w:hint="eastAsia"/>
          <w:lang w:val="en-GB"/>
        </w:rPr>
        <w:t>紀錄新高。</w:t>
      </w:r>
      <w:r w:rsidR="00265E5C" w:rsidRPr="00C10F61">
        <w:rPr>
          <w:rFonts w:hint="eastAsia"/>
          <w:lang w:val="en-GB"/>
        </w:rPr>
        <w:t>二零二五年</w:t>
      </w:r>
      <w:r w:rsidR="00C10F61" w:rsidRPr="00C10F61">
        <w:rPr>
          <w:rFonts w:hint="eastAsia"/>
          <w:lang w:val="en-GB"/>
        </w:rPr>
        <w:t>住宅物業市場明顯轉勢。</w:t>
      </w:r>
      <w:r w:rsidR="00647DE1" w:rsidRPr="00647DE1">
        <w:rPr>
          <w:rFonts w:hint="eastAsia"/>
          <w:lang w:val="en-GB"/>
        </w:rPr>
        <w:t>樓市在第一季相對偏軟，但自第二季起開始企穩</w:t>
      </w:r>
      <w:r w:rsidR="00647DE1">
        <w:rPr>
          <w:rFonts w:hint="eastAsia"/>
          <w:lang w:val="en-GB"/>
        </w:rPr>
        <w:t>，</w:t>
      </w:r>
      <w:r w:rsidR="00E96BDA">
        <w:rPr>
          <w:rFonts w:hint="eastAsia"/>
          <w:lang w:val="en-GB" w:eastAsia="zh-HK"/>
        </w:rPr>
        <w:t>並且</w:t>
      </w:r>
      <w:r w:rsidR="00C10F61" w:rsidRPr="00C10F61">
        <w:rPr>
          <w:rFonts w:hint="eastAsia"/>
          <w:lang w:val="en-GB"/>
        </w:rPr>
        <w:t>反彈動力</w:t>
      </w:r>
      <w:r w:rsidR="00C10F61">
        <w:rPr>
          <w:rFonts w:hint="eastAsia"/>
          <w:lang w:val="en-GB" w:eastAsia="zh-HK"/>
        </w:rPr>
        <w:t>在</w:t>
      </w:r>
      <w:r w:rsidR="00C10F61" w:rsidRPr="00C10F61">
        <w:rPr>
          <w:rFonts w:hint="eastAsia"/>
          <w:lang w:val="en-GB"/>
        </w:rPr>
        <w:t>隨後</w:t>
      </w:r>
      <w:r w:rsidR="004A0A45">
        <w:rPr>
          <w:rFonts w:hint="eastAsia"/>
          <w:lang w:val="en-GB"/>
        </w:rPr>
        <w:t>的</w:t>
      </w:r>
      <w:r w:rsidR="00C10F61" w:rsidRPr="00C10F61">
        <w:rPr>
          <w:rFonts w:hint="eastAsia"/>
          <w:lang w:val="en-GB"/>
        </w:rPr>
        <w:t>季度顯著增強。住宅</w:t>
      </w:r>
      <w:bookmarkStart w:id="2" w:name="_Hlk221530019"/>
      <w:r w:rsidR="00030DEC" w:rsidRPr="00030DEC">
        <w:rPr>
          <w:rFonts w:hint="eastAsia"/>
        </w:rPr>
        <w:t>物業</w:t>
      </w:r>
      <w:bookmarkEnd w:id="2"/>
      <w:r w:rsidR="00C10F61" w:rsidRPr="00C10F61">
        <w:rPr>
          <w:rFonts w:hint="eastAsia"/>
          <w:lang w:val="en-GB"/>
        </w:rPr>
        <w:t>售價</w:t>
      </w:r>
      <w:r w:rsidR="00E96BDA" w:rsidRPr="00E96BDA">
        <w:rPr>
          <w:rFonts w:hint="eastAsia"/>
          <w:lang w:val="en-GB"/>
        </w:rPr>
        <w:t>扭轉連續三年的跌勢</w:t>
      </w:r>
      <w:r w:rsidR="00E96BDA">
        <w:rPr>
          <w:rFonts w:hint="eastAsia"/>
          <w:lang w:val="en-GB"/>
        </w:rPr>
        <w:t>，</w:t>
      </w:r>
      <w:r w:rsidR="00E96BDA" w:rsidRPr="00E96BDA">
        <w:rPr>
          <w:rFonts w:hint="eastAsia"/>
          <w:lang w:val="en-GB"/>
        </w:rPr>
        <w:t>錄得溫和升幅</w:t>
      </w:r>
      <w:r w:rsidR="00C10F61">
        <w:rPr>
          <w:rFonts w:hint="eastAsia"/>
          <w:lang w:val="en-GB" w:eastAsia="zh-HK"/>
        </w:rPr>
        <w:t>，</w:t>
      </w:r>
      <w:r w:rsidR="00C10F61" w:rsidRPr="00C10F61">
        <w:rPr>
          <w:rFonts w:hint="eastAsia"/>
          <w:lang w:val="en-GB"/>
        </w:rPr>
        <w:t>租金</w:t>
      </w:r>
      <w:r w:rsidR="00E96BDA" w:rsidRPr="00E96BDA">
        <w:rPr>
          <w:rFonts w:hint="eastAsia"/>
          <w:lang w:val="en-GB"/>
        </w:rPr>
        <w:t>表現維持堅挺</w:t>
      </w:r>
      <w:r w:rsidR="00C10F61" w:rsidRPr="00C10F61">
        <w:rPr>
          <w:rFonts w:hint="eastAsia"/>
          <w:lang w:val="en-GB"/>
        </w:rPr>
        <w:t>。</w:t>
      </w:r>
    </w:p>
    <w:p w14:paraId="106C3A4A" w14:textId="6133D4B3" w:rsidR="002B6908" w:rsidRDefault="00D746BE" w:rsidP="00043C3B">
      <w:pPr>
        <w:pStyle w:val="a0"/>
        <w:rPr>
          <w:lang w:val="en-GB"/>
        </w:rPr>
      </w:pPr>
      <w:r w:rsidRPr="00D746BE">
        <w:rPr>
          <w:rFonts w:hint="eastAsia"/>
          <w:lang w:val="en-GB"/>
        </w:rPr>
        <w:t>消費物價通脹在二零二五年全年保持輕微。</w:t>
      </w:r>
      <w:r w:rsidR="00B360D5">
        <w:rPr>
          <w:rFonts w:hint="eastAsia"/>
          <w:lang w:val="en-GB"/>
        </w:rPr>
        <w:t>由於</w:t>
      </w:r>
      <w:r w:rsidRPr="00D746BE">
        <w:rPr>
          <w:rFonts w:hint="eastAsia"/>
          <w:lang w:val="en-GB"/>
        </w:rPr>
        <w:t>本地及外圍成本壓力維持</w:t>
      </w:r>
      <w:r w:rsidR="00A56768">
        <w:rPr>
          <w:rFonts w:hint="eastAsia"/>
          <w:lang w:val="en-GB"/>
        </w:rPr>
        <w:t>溫和</w:t>
      </w:r>
      <w:r w:rsidRPr="00D746BE">
        <w:rPr>
          <w:rFonts w:hint="eastAsia"/>
          <w:lang w:val="en-GB"/>
        </w:rPr>
        <w:t>，</w:t>
      </w:r>
      <w:r w:rsidR="00265E5C">
        <w:rPr>
          <w:rFonts w:hint="eastAsia"/>
          <w:lang w:eastAsia="zh-HK"/>
        </w:rPr>
        <w:t>而</w:t>
      </w:r>
      <w:r w:rsidR="00A56768">
        <w:rPr>
          <w:rFonts w:hint="eastAsia"/>
          <w:lang w:val="en-GB"/>
        </w:rPr>
        <w:t>企業因應</w:t>
      </w:r>
      <w:r w:rsidRPr="00D746BE">
        <w:rPr>
          <w:rFonts w:hint="eastAsia"/>
          <w:lang w:val="en-GB"/>
        </w:rPr>
        <w:t>本地消費處於復蘇初期，普遍對</w:t>
      </w:r>
      <w:r w:rsidR="00B360D5">
        <w:rPr>
          <w:rFonts w:hint="eastAsia"/>
          <w:lang w:val="en-GB"/>
        </w:rPr>
        <w:t>提價</w:t>
      </w:r>
      <w:r w:rsidR="00A56768">
        <w:rPr>
          <w:rFonts w:hint="eastAsia"/>
          <w:lang w:val="en-GB"/>
        </w:rPr>
        <w:t>依然</w:t>
      </w:r>
      <w:r w:rsidRPr="00D746BE">
        <w:rPr>
          <w:rFonts w:hint="eastAsia"/>
          <w:lang w:val="en-GB"/>
        </w:rPr>
        <w:t>持謹慎態度</w:t>
      </w:r>
      <w:r w:rsidR="00B360D5">
        <w:rPr>
          <w:rFonts w:hint="eastAsia"/>
          <w:lang w:val="en-GB"/>
        </w:rPr>
        <w:t>，因此</w:t>
      </w:r>
      <w:r w:rsidR="00B360D5" w:rsidRPr="00D746BE">
        <w:rPr>
          <w:rFonts w:hint="eastAsia"/>
          <w:lang w:val="en-GB"/>
        </w:rPr>
        <w:t>主要組成項目的價格壓力大致偏軟</w:t>
      </w:r>
      <w:r w:rsidRPr="00D746BE">
        <w:rPr>
          <w:rFonts w:hint="eastAsia"/>
          <w:lang w:val="en-GB"/>
        </w:rPr>
        <w:t>。</w:t>
      </w:r>
    </w:p>
    <w:p w14:paraId="65DCA790" w14:textId="77777777" w:rsidR="00C362AC" w:rsidRDefault="00C362AC" w:rsidP="0093046C">
      <w:pPr>
        <w:pStyle w:val="120"/>
        <w:rPr>
          <w:lang w:val="en-GB" w:eastAsia="zh-HK"/>
        </w:rPr>
      </w:pPr>
      <w:r>
        <w:rPr>
          <w:lang w:val="en-GB" w:eastAsia="zh-HK"/>
        </w:rPr>
        <w:br w:type="page"/>
      </w:r>
    </w:p>
    <w:p w14:paraId="0F1A681D" w14:textId="77777777" w:rsidR="002B6908" w:rsidRPr="006D5A4A" w:rsidRDefault="002B6908" w:rsidP="0093046C">
      <w:pPr>
        <w:pStyle w:val="120"/>
      </w:pPr>
      <w:r w:rsidRPr="00D64879">
        <w:rPr>
          <w:rFonts w:hint="eastAsia"/>
          <w:lang w:val="en-GB" w:eastAsia="zh-HK"/>
        </w:rPr>
        <w:lastRenderedPageBreak/>
        <w:t>整</w:t>
      </w:r>
      <w:r w:rsidRPr="00D64879">
        <w:rPr>
          <w:rFonts w:hint="eastAsia"/>
          <w:lang w:val="en-GB"/>
        </w:rPr>
        <w:t>體</w:t>
      </w:r>
      <w:r w:rsidRPr="00D64879">
        <w:rPr>
          <w:rFonts w:hint="eastAsia"/>
          <w:lang w:val="en-GB" w:eastAsia="zh-HK"/>
        </w:rPr>
        <w:t>情</w:t>
      </w:r>
      <w:r w:rsidRPr="00D64879">
        <w:rPr>
          <w:rFonts w:hint="eastAsia"/>
          <w:lang w:val="en-GB"/>
        </w:rPr>
        <w:t>況</w:t>
      </w:r>
    </w:p>
    <w:p w14:paraId="0318D151" w14:textId="129AE844" w:rsidR="002B6908" w:rsidRPr="00E86F0D" w:rsidRDefault="002B6908" w:rsidP="0093046C">
      <w:r w:rsidRPr="00A02D42">
        <w:rPr>
          <w:rFonts w:hint="eastAsia"/>
          <w:b/>
        </w:rPr>
        <w:t>1</w:t>
      </w:r>
      <w:r w:rsidRPr="00A02D42">
        <w:rPr>
          <w:b/>
        </w:rPr>
        <w:t>.1</w:t>
      </w:r>
      <w:r w:rsidRPr="00A02D42">
        <w:tab/>
      </w:r>
      <w:r w:rsidRPr="00704DF9">
        <w:rPr>
          <w:rFonts w:hint="eastAsia"/>
        </w:rPr>
        <w:t>二零二</w:t>
      </w:r>
      <w:r>
        <w:rPr>
          <w:rFonts w:hint="eastAsia"/>
          <w:lang w:eastAsia="zh-HK"/>
        </w:rPr>
        <w:t>五</w:t>
      </w:r>
      <w:r w:rsidRPr="00704DF9">
        <w:rPr>
          <w:rFonts w:hint="eastAsia"/>
        </w:rPr>
        <w:t>年</w:t>
      </w:r>
      <w:r w:rsidRPr="00A02D42">
        <w:rPr>
          <w:rFonts w:hint="eastAsia"/>
        </w:rPr>
        <w:t>香港經濟</w:t>
      </w:r>
      <w:r w:rsidRPr="00E86F0D">
        <w:rPr>
          <w:rFonts w:hint="eastAsia"/>
        </w:rPr>
        <w:t>展現強勁韌性</w:t>
      </w:r>
      <w:r>
        <w:rPr>
          <w:rFonts w:hint="eastAsia"/>
          <w:lang w:eastAsia="zh-HK"/>
        </w:rPr>
        <w:t>，儘</w:t>
      </w:r>
      <w:r>
        <w:rPr>
          <w:rFonts w:hint="eastAsia"/>
        </w:rPr>
        <w:t>管</w:t>
      </w:r>
      <w:r w:rsidR="00A64CBC">
        <w:rPr>
          <w:rFonts w:hint="eastAsia"/>
        </w:rPr>
        <w:t>年</w:t>
      </w:r>
      <w:r w:rsidR="00A56768">
        <w:rPr>
          <w:rFonts w:hint="eastAsia"/>
        </w:rPr>
        <w:t>內出現多次</w:t>
      </w:r>
      <w:r w:rsidRPr="004D6EDD">
        <w:rPr>
          <w:rFonts w:hint="eastAsia"/>
        </w:rPr>
        <w:t>環球貿易摩擦</w:t>
      </w:r>
      <w:r w:rsidR="00B61119">
        <w:rPr>
          <w:rFonts w:hint="eastAsia"/>
          <w:lang w:eastAsia="zh-HK"/>
        </w:rPr>
        <w:t>升溫</w:t>
      </w:r>
      <w:r w:rsidR="00A56768">
        <w:rPr>
          <w:rFonts w:hint="eastAsia"/>
          <w:lang w:eastAsia="zh-HK"/>
        </w:rPr>
        <w:t>的情況，令不少</w:t>
      </w:r>
      <w:r w:rsidRPr="00915849">
        <w:rPr>
          <w:rFonts w:hint="eastAsia"/>
        </w:rPr>
        <w:t>貿易</w:t>
      </w:r>
      <w:r w:rsidRPr="00915849">
        <w:rPr>
          <w:rFonts w:hint="eastAsia"/>
          <w:lang w:eastAsia="zh-HK"/>
        </w:rPr>
        <w:t>往來</w:t>
      </w:r>
      <w:r w:rsidR="00D349C1">
        <w:rPr>
          <w:rFonts w:hint="eastAsia"/>
          <w:lang w:eastAsia="zh-HK"/>
        </w:rPr>
        <w:t>的</w:t>
      </w:r>
      <w:r w:rsidRPr="00EC7395">
        <w:rPr>
          <w:rFonts w:hint="eastAsia"/>
          <w:lang w:eastAsia="zh-HK"/>
        </w:rPr>
        <w:t>關稅</w:t>
      </w:r>
      <w:r w:rsidR="00D349C1">
        <w:rPr>
          <w:rFonts w:hint="eastAsia"/>
          <w:lang w:eastAsia="zh-HK"/>
        </w:rPr>
        <w:t>提高</w:t>
      </w:r>
      <w:r>
        <w:rPr>
          <w:rFonts w:hint="eastAsia"/>
          <w:lang w:eastAsia="zh-HK"/>
        </w:rPr>
        <w:t>。</w:t>
      </w:r>
      <w:r w:rsidRPr="00991134">
        <w:rPr>
          <w:rFonts w:hint="eastAsia"/>
        </w:rPr>
        <w:t>實質本地生產總值</w:t>
      </w:r>
      <w:r w:rsidR="00E178A1">
        <w:rPr>
          <w:rFonts w:hint="eastAsia"/>
        </w:rPr>
        <w:t>在</w:t>
      </w:r>
      <w:r w:rsidR="00E178A1" w:rsidRPr="00704DF9">
        <w:rPr>
          <w:rFonts w:hint="eastAsia"/>
        </w:rPr>
        <w:t>二零二</w:t>
      </w:r>
      <w:r w:rsidR="00E178A1">
        <w:rPr>
          <w:rFonts w:hint="eastAsia"/>
          <w:lang w:eastAsia="zh-HK"/>
        </w:rPr>
        <w:t>五</w:t>
      </w:r>
      <w:r w:rsidR="00E178A1" w:rsidRPr="00704DF9">
        <w:rPr>
          <w:rFonts w:hint="eastAsia"/>
        </w:rPr>
        <w:t>年</w:t>
      </w:r>
      <w:r>
        <w:rPr>
          <w:rFonts w:hint="eastAsia"/>
        </w:rPr>
        <w:t>增長</w:t>
      </w:r>
      <w:r w:rsidR="007C3C41">
        <w:rPr>
          <w:lang w:val="en-GB"/>
        </w:rPr>
        <w:t>3.5%</w:t>
      </w:r>
      <w:r>
        <w:rPr>
          <w:rFonts w:hint="eastAsia"/>
          <w:lang w:eastAsia="zh-HK"/>
        </w:rPr>
        <w:t>，較</w:t>
      </w:r>
      <w:r w:rsidR="00D349C1">
        <w:rPr>
          <w:rFonts w:hint="eastAsia"/>
        </w:rPr>
        <w:t>前</w:t>
      </w:r>
      <w:r>
        <w:rPr>
          <w:rFonts w:hint="eastAsia"/>
        </w:rPr>
        <w:t>一年</w:t>
      </w:r>
      <w:r w:rsidRPr="00C42AFE">
        <w:rPr>
          <w:rFonts w:hint="eastAsia"/>
        </w:rPr>
        <w:t>的</w:t>
      </w:r>
      <w:r w:rsidR="007C3C41">
        <w:rPr>
          <w:rFonts w:hint="eastAsia"/>
        </w:rPr>
        <w:t>2.6</w:t>
      </w:r>
      <w:r w:rsidR="007C3C41" w:rsidRPr="00C42AFE">
        <w:rPr>
          <w:rFonts w:hint="eastAsia"/>
        </w:rPr>
        <w:t>%</w:t>
      </w:r>
      <w:r w:rsidRPr="00C42AFE">
        <w:rPr>
          <w:rFonts w:hint="eastAsia"/>
        </w:rPr>
        <w:t>增</w:t>
      </w:r>
      <w:r w:rsidR="00370840">
        <w:rPr>
          <w:rFonts w:hint="eastAsia"/>
          <w:lang w:eastAsia="zh-HK"/>
        </w:rPr>
        <w:t>長</w:t>
      </w:r>
      <w:r>
        <w:rPr>
          <w:rFonts w:hint="eastAsia"/>
          <w:lang w:eastAsia="zh-HK"/>
        </w:rPr>
        <w:t>快，</w:t>
      </w:r>
      <w:r w:rsidR="00E178A1">
        <w:rPr>
          <w:rFonts w:hint="eastAsia"/>
          <w:lang w:eastAsia="zh-HK"/>
        </w:rPr>
        <w:t>並</w:t>
      </w:r>
      <w:r>
        <w:rPr>
          <w:rFonts w:hint="eastAsia"/>
          <w:lang w:eastAsia="zh-HK"/>
        </w:rPr>
        <w:t>連</w:t>
      </w:r>
      <w:r>
        <w:rPr>
          <w:rFonts w:hint="eastAsia"/>
        </w:rPr>
        <w:t>續</w:t>
      </w:r>
      <w:r>
        <w:rPr>
          <w:rFonts w:hint="eastAsia"/>
          <w:lang w:eastAsia="zh-HK"/>
        </w:rPr>
        <w:t>第三年</w:t>
      </w:r>
      <w:r w:rsidR="00370840">
        <w:rPr>
          <w:rFonts w:hint="eastAsia"/>
          <w:lang w:eastAsia="zh-HK"/>
        </w:rPr>
        <w:t>錄得</w:t>
      </w:r>
      <w:r>
        <w:rPr>
          <w:rFonts w:hint="eastAsia"/>
          <w:lang w:eastAsia="zh-HK"/>
        </w:rPr>
        <w:t>擴張。</w:t>
      </w:r>
      <w:r w:rsidRPr="00717280">
        <w:rPr>
          <w:rFonts w:hint="eastAsia"/>
          <w:lang w:eastAsia="zh-HK"/>
        </w:rPr>
        <w:t>整體貨物出</w:t>
      </w:r>
      <w:r>
        <w:rPr>
          <w:rFonts w:hint="eastAsia"/>
          <w:lang w:eastAsia="zh-HK"/>
        </w:rPr>
        <w:t>口</w:t>
      </w:r>
      <w:r w:rsidR="00E178A1" w:rsidRPr="00E178A1">
        <w:rPr>
          <w:rFonts w:hint="eastAsia"/>
          <w:lang w:eastAsia="zh-HK"/>
        </w:rPr>
        <w:t>穩步上升</w:t>
      </w:r>
      <w:r>
        <w:rPr>
          <w:rFonts w:hint="eastAsia"/>
          <w:lang w:eastAsia="zh-HK"/>
        </w:rPr>
        <w:t>，</w:t>
      </w:r>
      <w:r w:rsidRPr="0051119D">
        <w:rPr>
          <w:rFonts w:hint="eastAsia"/>
          <w:lang w:eastAsia="zh-HK"/>
        </w:rPr>
        <w:t>服務輸出</w:t>
      </w:r>
      <w:r>
        <w:rPr>
          <w:rFonts w:hint="eastAsia"/>
          <w:lang w:eastAsia="zh-HK"/>
        </w:rPr>
        <w:t>亦</w:t>
      </w:r>
      <w:r w:rsidR="00E178A1">
        <w:rPr>
          <w:rFonts w:hint="eastAsia"/>
          <w:lang w:eastAsia="zh-HK"/>
        </w:rPr>
        <w:t>明</w:t>
      </w:r>
      <w:r>
        <w:rPr>
          <w:rFonts w:hint="eastAsia"/>
          <w:lang w:eastAsia="zh-HK"/>
        </w:rPr>
        <w:t>顯擴張。</w:t>
      </w:r>
      <w:r w:rsidRPr="00B21460">
        <w:rPr>
          <w:rFonts w:hint="eastAsia"/>
          <w:lang w:eastAsia="zh-HK"/>
        </w:rPr>
        <w:t>本地方面，</w:t>
      </w:r>
      <w:r w:rsidRPr="00D90C88">
        <w:rPr>
          <w:rFonts w:hint="eastAsia"/>
          <w:lang w:eastAsia="zh-HK"/>
        </w:rPr>
        <w:t>私人消費開支</w:t>
      </w:r>
      <w:r w:rsidR="00E178A1">
        <w:rPr>
          <w:rFonts w:hint="eastAsia"/>
          <w:lang w:eastAsia="zh-HK"/>
        </w:rPr>
        <w:t>恢復</w:t>
      </w:r>
      <w:r w:rsidRPr="00D90C88">
        <w:rPr>
          <w:rFonts w:hint="eastAsia"/>
          <w:lang w:eastAsia="zh-HK"/>
        </w:rPr>
        <w:t>輕微</w:t>
      </w:r>
      <w:r>
        <w:rPr>
          <w:rFonts w:hint="eastAsia"/>
          <w:lang w:eastAsia="zh-HK"/>
        </w:rPr>
        <w:t>上</w:t>
      </w:r>
      <w:r>
        <w:rPr>
          <w:rFonts w:hint="eastAsia"/>
        </w:rPr>
        <w:t>升</w:t>
      </w:r>
      <w:r>
        <w:rPr>
          <w:rFonts w:hint="eastAsia"/>
          <w:lang w:eastAsia="zh-HK"/>
        </w:rPr>
        <w:t>，</w:t>
      </w:r>
      <w:r w:rsidRPr="007A4BD2">
        <w:rPr>
          <w:rFonts w:hint="eastAsia"/>
          <w:lang w:eastAsia="zh-HK"/>
        </w:rPr>
        <w:t>整體投資開支</w:t>
      </w:r>
      <w:r w:rsidRPr="005C7C3E">
        <w:rPr>
          <w:rFonts w:hint="eastAsia"/>
          <w:lang w:eastAsia="zh-HK"/>
        </w:rPr>
        <w:t>增長</w:t>
      </w:r>
      <w:r>
        <w:rPr>
          <w:rFonts w:hint="eastAsia"/>
          <w:lang w:eastAsia="zh-HK"/>
        </w:rPr>
        <w:t>加快。</w:t>
      </w:r>
    </w:p>
    <w:p w14:paraId="6D793A91" w14:textId="64EF5207" w:rsidR="002B6908" w:rsidRDefault="002B6908" w:rsidP="0093046C">
      <w:r w:rsidRPr="00643D21">
        <w:rPr>
          <w:b/>
        </w:rPr>
        <w:t>1.2</w:t>
      </w:r>
      <w:r w:rsidRPr="00643D21">
        <w:tab/>
      </w:r>
      <w:r w:rsidRPr="00524E8D">
        <w:rPr>
          <w:rFonts w:hint="eastAsia"/>
        </w:rPr>
        <w:t>季度數字顯示，經濟增長</w:t>
      </w:r>
      <w:r w:rsidR="00E178A1">
        <w:rPr>
          <w:rFonts w:hint="eastAsia"/>
        </w:rPr>
        <w:t>在</w:t>
      </w:r>
      <w:r w:rsidR="00E178A1" w:rsidRPr="00524E8D">
        <w:rPr>
          <w:rFonts w:hint="eastAsia"/>
        </w:rPr>
        <w:t>年內</w:t>
      </w:r>
      <w:r w:rsidRPr="00524E8D">
        <w:rPr>
          <w:rFonts w:hint="eastAsia"/>
        </w:rPr>
        <w:t>逐步加快，四個季度的實質本地生產總值分別按年</w:t>
      </w:r>
      <w:r w:rsidR="008D64BE">
        <w:rPr>
          <w:rFonts w:hint="eastAsia"/>
          <w:lang w:eastAsia="zh-HK"/>
        </w:rPr>
        <w:t>擴張</w:t>
      </w:r>
      <w:r w:rsidRPr="00524E8D">
        <w:rPr>
          <w:rFonts w:hint="eastAsia"/>
        </w:rPr>
        <w:t>3.1%</w:t>
      </w:r>
      <w:r w:rsidRPr="00524E8D">
        <w:rPr>
          <w:rFonts w:hint="eastAsia"/>
        </w:rPr>
        <w:t>、</w:t>
      </w:r>
      <w:r w:rsidRPr="00524E8D">
        <w:rPr>
          <w:rFonts w:hint="eastAsia"/>
        </w:rPr>
        <w:t>3.2%</w:t>
      </w:r>
      <w:r w:rsidRPr="00524E8D">
        <w:rPr>
          <w:rFonts w:hint="eastAsia"/>
        </w:rPr>
        <w:t>、</w:t>
      </w:r>
      <w:r w:rsidRPr="00524E8D">
        <w:rPr>
          <w:rFonts w:hint="eastAsia"/>
        </w:rPr>
        <w:t>3.7%</w:t>
      </w:r>
      <w:r w:rsidRPr="00524E8D">
        <w:rPr>
          <w:rFonts w:hint="eastAsia"/>
        </w:rPr>
        <w:t>和</w:t>
      </w:r>
      <w:r w:rsidR="007C3C41">
        <w:rPr>
          <w:lang w:val="en-GB"/>
        </w:rPr>
        <w:t>3.8%</w:t>
      </w:r>
      <w:r w:rsidRPr="00524E8D">
        <w:rPr>
          <w:rFonts w:hint="eastAsia"/>
        </w:rPr>
        <w:t>。</w:t>
      </w:r>
    </w:p>
    <w:p w14:paraId="5EC8C3E3" w14:textId="19C08F87" w:rsidR="002B6908" w:rsidRDefault="002B6908" w:rsidP="0093046C">
      <w:r w:rsidRPr="00643D21">
        <w:rPr>
          <w:b/>
        </w:rPr>
        <w:t>1.</w:t>
      </w:r>
      <w:r>
        <w:rPr>
          <w:b/>
        </w:rPr>
        <w:t>3</w:t>
      </w:r>
      <w:r w:rsidRPr="00643D21">
        <w:tab/>
      </w:r>
      <w:r w:rsidR="00E20147" w:rsidRPr="00E20147">
        <w:rPr>
          <w:rFonts w:hint="eastAsia"/>
        </w:rPr>
        <w:t>勞工市場在二零二五年較後時間呈回穩</w:t>
      </w:r>
      <w:r w:rsidR="0005767D">
        <w:rPr>
          <w:rFonts w:hint="eastAsia"/>
        </w:rPr>
        <w:t>迹</w:t>
      </w:r>
      <w:r w:rsidR="00E20147" w:rsidRPr="00E20147">
        <w:rPr>
          <w:rFonts w:hint="eastAsia"/>
        </w:rPr>
        <w:t>象。就業收入在年內繼續上升。</w:t>
      </w:r>
      <w:r w:rsidRPr="00524E8D">
        <w:rPr>
          <w:rFonts w:hint="eastAsia"/>
        </w:rPr>
        <w:t>本地股票市場在年內表現強勁。住宅物業市場明顯</w:t>
      </w:r>
      <w:r w:rsidR="00AA6926">
        <w:rPr>
          <w:rFonts w:hint="eastAsia"/>
          <w:lang w:eastAsia="zh-HK"/>
        </w:rPr>
        <w:t>轉勢</w:t>
      </w:r>
      <w:r w:rsidRPr="00524E8D">
        <w:rPr>
          <w:rFonts w:hint="eastAsia"/>
        </w:rPr>
        <w:t>。消費物價通脹</w:t>
      </w:r>
      <w:r w:rsidR="00FA25CE">
        <w:rPr>
          <w:rFonts w:hint="eastAsia"/>
          <w:lang w:eastAsia="zh-HK"/>
        </w:rPr>
        <w:t>全年</w:t>
      </w:r>
      <w:r w:rsidR="00AA6926">
        <w:rPr>
          <w:rFonts w:hint="eastAsia"/>
          <w:lang w:eastAsia="zh-HK"/>
        </w:rPr>
        <w:t>保</w:t>
      </w:r>
      <w:r w:rsidRPr="00524E8D">
        <w:rPr>
          <w:rFonts w:hint="eastAsia"/>
        </w:rPr>
        <w:t>持輕微。</w:t>
      </w:r>
    </w:p>
    <w:p w14:paraId="1BDC71EB" w14:textId="74F168EF" w:rsidR="007C3C41" w:rsidRPr="009E5A7C" w:rsidRDefault="002B6908">
      <w:pPr>
        <w:tabs>
          <w:tab w:val="clear" w:pos="936"/>
          <w:tab w:val="clear" w:pos="1560"/>
          <w:tab w:val="clear" w:pos="2184"/>
          <w:tab w:val="clear" w:pos="2808"/>
        </w:tabs>
        <w:overflowPunct/>
        <w:adjustRightInd/>
        <w:spacing w:after="0" w:line="240" w:lineRule="auto"/>
        <w:jc w:val="left"/>
        <w:textAlignment w:val="auto"/>
        <w:rPr>
          <w:lang w:val="en-GB"/>
        </w:rPr>
      </w:pPr>
      <w:r>
        <w:br w:type="page"/>
      </w:r>
      <w:r w:rsidR="007C3C41" w:rsidRPr="007C3C41">
        <w:rPr>
          <w:noProof/>
        </w:rPr>
        <w:lastRenderedPageBreak/>
        <w:drawing>
          <wp:inline distT="0" distB="0" distL="0" distR="0" wp14:anchorId="6B417B2D" wp14:editId="41F2EDA6">
            <wp:extent cx="5760085" cy="351472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4725"/>
                    </a:xfrm>
                    <a:prstGeom prst="rect">
                      <a:avLst/>
                    </a:prstGeom>
                    <a:noFill/>
                    <a:ln>
                      <a:noFill/>
                    </a:ln>
                  </pic:spPr>
                </pic:pic>
              </a:graphicData>
            </a:graphic>
          </wp:inline>
        </w:drawing>
      </w:r>
      <w:r w:rsidR="004A0A45" w:rsidRPr="004A0A45">
        <w:rPr>
          <w:noProof/>
        </w:rPr>
        <w:drawing>
          <wp:inline distT="0" distB="0" distL="0" distR="0" wp14:anchorId="4DE6490F" wp14:editId="33AEC2F1">
            <wp:extent cx="5760085" cy="3510915"/>
            <wp:effectExtent l="0" t="0" r="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10915"/>
                    </a:xfrm>
                    <a:prstGeom prst="rect">
                      <a:avLst/>
                    </a:prstGeom>
                    <a:noFill/>
                    <a:ln>
                      <a:noFill/>
                    </a:ln>
                  </pic:spPr>
                </pic:pic>
              </a:graphicData>
            </a:graphic>
          </wp:inline>
        </w:drawing>
      </w:r>
    </w:p>
    <w:p w14:paraId="570FB501" w14:textId="363EA213" w:rsidR="007C3C41" w:rsidRDefault="007C3C41">
      <w:pPr>
        <w:tabs>
          <w:tab w:val="clear" w:pos="936"/>
          <w:tab w:val="clear" w:pos="1560"/>
          <w:tab w:val="clear" w:pos="2184"/>
          <w:tab w:val="clear" w:pos="2808"/>
        </w:tabs>
        <w:overflowPunct/>
        <w:adjustRightInd/>
        <w:spacing w:after="0" w:line="240" w:lineRule="auto"/>
        <w:jc w:val="left"/>
        <w:textAlignment w:val="auto"/>
      </w:pPr>
      <w:r>
        <w:br w:type="page"/>
      </w:r>
    </w:p>
    <w:p w14:paraId="6764F46C" w14:textId="77777777" w:rsidR="002B6908" w:rsidRPr="00643D21" w:rsidRDefault="002B6908" w:rsidP="007F3E43">
      <w:pPr>
        <w:pStyle w:val="120"/>
        <w:rPr>
          <w:lang w:eastAsia="zh-HK"/>
        </w:rPr>
      </w:pPr>
      <w:r w:rsidRPr="00643D21">
        <w:rPr>
          <w:rFonts w:hint="eastAsia"/>
          <w:lang w:eastAsia="zh-HK"/>
        </w:rPr>
        <w:lastRenderedPageBreak/>
        <w:t>對外貿易</w:t>
      </w:r>
    </w:p>
    <w:p w14:paraId="2701B2D8" w14:textId="38470D74" w:rsidR="002B6908" w:rsidRPr="008A3E87" w:rsidRDefault="002B6908" w:rsidP="0093046C">
      <w:pPr>
        <w:rPr>
          <w:lang w:val="en-GB"/>
        </w:rPr>
      </w:pPr>
      <w:r w:rsidRPr="00643D21">
        <w:rPr>
          <w:b/>
          <w:lang w:val="en-GB"/>
        </w:rPr>
        <w:t>1.</w:t>
      </w:r>
      <w:r>
        <w:rPr>
          <w:rFonts w:hint="eastAsia"/>
          <w:b/>
          <w:lang w:val="en-GB"/>
        </w:rPr>
        <w:t>4</w:t>
      </w:r>
      <w:r w:rsidRPr="00643D21">
        <w:tab/>
      </w:r>
      <w:r w:rsidRPr="00643D21">
        <w:rPr>
          <w:rFonts w:hint="eastAsia"/>
        </w:rPr>
        <w:t>根據</w:t>
      </w:r>
      <w:r w:rsidRPr="00643D21">
        <w:rPr>
          <w:rFonts w:hint="eastAsia"/>
          <w:lang w:eastAsia="zh-HK"/>
        </w:rPr>
        <w:t>本地生</w:t>
      </w:r>
      <w:r w:rsidRPr="00643D21">
        <w:rPr>
          <w:rFonts w:hint="eastAsia"/>
        </w:rPr>
        <w:t>產</w:t>
      </w:r>
      <w:r w:rsidRPr="00643D21">
        <w:rPr>
          <w:rFonts w:hint="eastAsia"/>
          <w:lang w:eastAsia="zh-HK"/>
        </w:rPr>
        <w:t>總值</w:t>
      </w:r>
      <w:r w:rsidRPr="00643D21">
        <w:rPr>
          <w:rFonts w:hint="eastAsia"/>
        </w:rPr>
        <w:t>編製架構</w:t>
      </w:r>
      <w:r w:rsidR="00B11B7C">
        <w:rPr>
          <w:rFonts w:hint="eastAsia"/>
          <w:lang w:eastAsia="zh-HK"/>
        </w:rPr>
        <w:t>計算</w:t>
      </w:r>
      <w:r w:rsidRPr="00643D21">
        <w:rPr>
          <w:rFonts w:hint="eastAsia"/>
        </w:rPr>
        <w:t>的</w:t>
      </w:r>
      <w:r w:rsidRPr="00643D21">
        <w:rPr>
          <w:rFonts w:hint="eastAsia"/>
          <w:i/>
        </w:rPr>
        <w:t>整體貨物出口</w:t>
      </w:r>
      <w:bookmarkStart w:id="3" w:name="_Hlk221713224"/>
      <w:r w:rsidRPr="00643D21">
        <w:rPr>
          <w:rFonts w:hint="eastAsia"/>
          <w:lang w:val="en-GB"/>
        </w:rPr>
        <w:t>在二零二五年</w:t>
      </w:r>
      <w:r w:rsidR="00203885" w:rsidRPr="00643D21">
        <w:rPr>
          <w:rFonts w:hint="eastAsia"/>
          <w:lang w:val="en-GB"/>
        </w:rPr>
        <w:t>實質</w:t>
      </w:r>
      <w:r w:rsidR="00203885">
        <w:rPr>
          <w:rFonts w:hint="eastAsia"/>
          <w:lang w:val="en-GB"/>
        </w:rPr>
        <w:t>穩步</w:t>
      </w:r>
      <w:r w:rsidRPr="00643D21">
        <w:rPr>
          <w:rFonts w:hint="eastAsia"/>
          <w:lang w:val="en-GB"/>
        </w:rPr>
        <w:t>增長</w:t>
      </w:r>
      <w:r w:rsidR="004E01BA">
        <w:rPr>
          <w:lang w:val="en-GB"/>
        </w:rPr>
        <w:t>12.0%</w:t>
      </w:r>
      <w:r w:rsidR="00203885" w:rsidRPr="00643D21">
        <w:rPr>
          <w:rFonts w:hint="eastAsia"/>
          <w:lang w:val="en-GB"/>
        </w:rPr>
        <w:t>，</w:t>
      </w:r>
      <w:r w:rsidR="00203885">
        <w:rPr>
          <w:rFonts w:hint="eastAsia"/>
          <w:lang w:val="en-GB"/>
        </w:rPr>
        <w:t>較</w:t>
      </w:r>
      <w:r w:rsidR="00203885" w:rsidRPr="00096009">
        <w:rPr>
          <w:rFonts w:hint="eastAsia"/>
          <w:lang w:eastAsia="zh-HK"/>
        </w:rPr>
        <w:t>二零二</w:t>
      </w:r>
      <w:r w:rsidR="00203885">
        <w:rPr>
          <w:rFonts w:hint="eastAsia"/>
        </w:rPr>
        <w:t>四</w:t>
      </w:r>
      <w:r w:rsidR="00203885" w:rsidRPr="00096009">
        <w:rPr>
          <w:rFonts w:hint="eastAsia"/>
          <w:lang w:eastAsia="zh-HK"/>
        </w:rPr>
        <w:t>年</w:t>
      </w:r>
      <w:r w:rsidR="00203885">
        <w:rPr>
          <w:rFonts w:hint="eastAsia"/>
          <w:lang w:eastAsia="zh-HK"/>
        </w:rPr>
        <w:t>的</w:t>
      </w:r>
      <w:r w:rsidR="00203885">
        <w:rPr>
          <w:rFonts w:hint="eastAsia"/>
          <w:lang w:val="en-GB"/>
        </w:rPr>
        <w:t>5</w:t>
      </w:r>
      <w:r w:rsidR="00203885" w:rsidRPr="00643D21">
        <w:rPr>
          <w:lang w:val="en-GB"/>
        </w:rPr>
        <w:t>.</w:t>
      </w:r>
      <w:r w:rsidR="00203885">
        <w:rPr>
          <w:rFonts w:hint="eastAsia"/>
          <w:lang w:val="en-GB"/>
        </w:rPr>
        <w:t>3</w:t>
      </w:r>
      <w:r w:rsidR="00203885" w:rsidRPr="00643D21">
        <w:rPr>
          <w:rFonts w:hint="eastAsia"/>
          <w:lang w:val="en-GB"/>
        </w:rPr>
        <w:t>%</w:t>
      </w:r>
      <w:r w:rsidR="00203885">
        <w:rPr>
          <w:rFonts w:hint="eastAsia"/>
          <w:lang w:val="en-GB"/>
        </w:rPr>
        <w:t>增長顯著加快</w:t>
      </w:r>
      <w:r w:rsidRPr="00643D21">
        <w:rPr>
          <w:rFonts w:hint="eastAsia"/>
          <w:lang w:val="en-GB"/>
        </w:rPr>
        <w:t>。</w:t>
      </w:r>
      <w:bookmarkStart w:id="4" w:name="_Hlk221713257"/>
      <w:bookmarkEnd w:id="3"/>
      <w:r w:rsidR="00B11B7C" w:rsidRPr="0033065C">
        <w:rPr>
          <w:rFonts w:hint="eastAsia"/>
          <w:lang w:val="en-GB"/>
        </w:rPr>
        <w:t>年</w:t>
      </w:r>
      <w:r w:rsidR="00B11B7C">
        <w:rPr>
          <w:rFonts w:hint="eastAsia"/>
          <w:lang w:val="en-GB"/>
        </w:rPr>
        <w:t>內</w:t>
      </w:r>
      <w:r w:rsidR="00B11B7C">
        <w:rPr>
          <w:rFonts w:hint="eastAsia"/>
          <w:lang w:val="en-GB" w:eastAsia="zh-HK"/>
        </w:rPr>
        <w:t>，</w:t>
      </w:r>
      <w:r>
        <w:rPr>
          <w:rFonts w:hint="eastAsia"/>
          <w:lang w:val="en-GB"/>
        </w:rPr>
        <w:t>美國</w:t>
      </w:r>
      <w:r w:rsidR="00191114">
        <w:rPr>
          <w:rFonts w:hint="eastAsia"/>
          <w:lang w:val="en-GB" w:eastAsia="zh-HK"/>
        </w:rPr>
        <w:t>加徵</w:t>
      </w:r>
      <w:r w:rsidRPr="0033065C">
        <w:rPr>
          <w:rFonts w:hint="eastAsia"/>
          <w:lang w:val="en-GB"/>
        </w:rPr>
        <w:t>關稅</w:t>
      </w:r>
      <w:r w:rsidR="00A64CBC">
        <w:rPr>
          <w:rFonts w:hint="eastAsia"/>
          <w:lang w:val="en-GB"/>
        </w:rPr>
        <w:t>，</w:t>
      </w:r>
      <w:r w:rsidR="00B11B7C">
        <w:rPr>
          <w:rFonts w:hint="eastAsia"/>
          <w:lang w:val="en-GB" w:eastAsia="zh-HK"/>
        </w:rPr>
        <w:t>觸</w:t>
      </w:r>
      <w:r w:rsidRPr="0033065C">
        <w:rPr>
          <w:rFonts w:hint="eastAsia"/>
          <w:lang w:val="en-GB" w:eastAsia="zh-HK"/>
        </w:rPr>
        <w:t>發</w:t>
      </w:r>
      <w:r w:rsidR="00A64CBC">
        <w:rPr>
          <w:rFonts w:hint="eastAsia"/>
          <w:lang w:val="en-GB" w:eastAsia="zh-HK"/>
        </w:rPr>
        <w:t>多次</w:t>
      </w:r>
      <w:r>
        <w:rPr>
          <w:rFonts w:hint="eastAsia"/>
          <w:lang w:val="en-GB" w:eastAsia="zh-HK"/>
        </w:rPr>
        <w:t>全球貿易</w:t>
      </w:r>
      <w:r w:rsidR="00B11B7C">
        <w:rPr>
          <w:rFonts w:hint="eastAsia"/>
          <w:lang w:val="en-GB" w:eastAsia="zh-HK"/>
        </w:rPr>
        <w:t>摩</w:t>
      </w:r>
      <w:r w:rsidR="00B11B7C">
        <w:rPr>
          <w:rFonts w:hint="eastAsia"/>
          <w:lang w:val="en-GB"/>
        </w:rPr>
        <w:t>擦</w:t>
      </w:r>
      <w:r w:rsidR="00B11B7C">
        <w:rPr>
          <w:rFonts w:hint="eastAsia"/>
          <w:lang w:val="en-GB" w:eastAsia="zh-HK"/>
        </w:rPr>
        <w:t>升溫</w:t>
      </w:r>
      <w:r w:rsidR="00A64CBC">
        <w:rPr>
          <w:rFonts w:hint="eastAsia"/>
          <w:lang w:val="en-GB" w:eastAsia="zh-HK"/>
        </w:rPr>
        <w:t>的情況</w:t>
      </w:r>
      <w:r w:rsidR="00B11B7C">
        <w:rPr>
          <w:rFonts w:hint="eastAsia"/>
          <w:lang w:val="en-GB" w:eastAsia="zh-HK"/>
        </w:rPr>
        <w:t>，</w:t>
      </w:r>
      <w:r>
        <w:rPr>
          <w:rFonts w:hint="eastAsia"/>
          <w:lang w:val="en-GB"/>
        </w:rPr>
        <w:t>影響</w:t>
      </w:r>
      <w:r w:rsidR="00B11B7C">
        <w:rPr>
          <w:rFonts w:hint="eastAsia"/>
          <w:lang w:val="en-GB"/>
        </w:rPr>
        <w:t>全球貿易往來</w:t>
      </w:r>
      <w:r>
        <w:rPr>
          <w:rFonts w:hint="eastAsia"/>
          <w:lang w:val="en-GB"/>
        </w:rPr>
        <w:t>。</w:t>
      </w:r>
      <w:r w:rsidR="004158AA" w:rsidRPr="004158AA">
        <w:rPr>
          <w:rFonts w:hint="eastAsia"/>
          <w:lang w:val="en-GB"/>
        </w:rPr>
        <w:t>截至</w:t>
      </w:r>
      <w:r w:rsidR="004158AA" w:rsidRPr="00643D21">
        <w:rPr>
          <w:rFonts w:hint="eastAsia"/>
          <w:lang w:val="en-GB"/>
        </w:rPr>
        <w:t>二零二五</w:t>
      </w:r>
      <w:r w:rsidR="004158AA">
        <w:rPr>
          <w:rFonts w:hint="eastAsia"/>
          <w:lang w:val="en-GB"/>
        </w:rPr>
        <w:t>年</w:t>
      </w:r>
      <w:r w:rsidR="004158AA" w:rsidRPr="0033065C">
        <w:rPr>
          <w:rFonts w:hint="eastAsia"/>
          <w:lang w:val="en-GB"/>
        </w:rPr>
        <w:t>年底</w:t>
      </w:r>
      <w:r w:rsidR="00A64CBC">
        <w:rPr>
          <w:rFonts w:hint="eastAsia"/>
          <w:lang w:val="en-GB"/>
        </w:rPr>
        <w:t>，</w:t>
      </w:r>
      <w:r w:rsidRPr="0033065C">
        <w:rPr>
          <w:rFonts w:hint="eastAsia"/>
          <w:lang w:val="en-GB"/>
        </w:rPr>
        <w:t>美國</w:t>
      </w:r>
      <w:r w:rsidR="004158AA" w:rsidRPr="0033065C">
        <w:rPr>
          <w:rFonts w:hint="eastAsia"/>
          <w:lang w:val="en-GB"/>
        </w:rPr>
        <w:t>平均</w:t>
      </w:r>
      <w:r w:rsidRPr="0033065C">
        <w:rPr>
          <w:rFonts w:hint="eastAsia"/>
          <w:lang w:val="en-GB"/>
        </w:rPr>
        <w:t>進口關稅較一年</w:t>
      </w:r>
      <w:r w:rsidR="004E01BA">
        <w:rPr>
          <w:rFonts w:hint="eastAsia"/>
          <w:lang w:val="en-GB"/>
        </w:rPr>
        <w:t>前</w:t>
      </w:r>
      <w:r w:rsidRPr="0033065C">
        <w:rPr>
          <w:rFonts w:hint="eastAsia"/>
          <w:lang w:val="en-GB"/>
        </w:rPr>
        <w:t>顯</w:t>
      </w:r>
      <w:r w:rsidR="00446061">
        <w:rPr>
          <w:rFonts w:hint="eastAsia"/>
          <w:lang w:val="en-GB"/>
        </w:rPr>
        <w:t>著</w:t>
      </w:r>
      <w:r w:rsidRPr="0033065C">
        <w:rPr>
          <w:rFonts w:hint="eastAsia"/>
          <w:lang w:val="en-GB"/>
        </w:rPr>
        <w:t>上升</w:t>
      </w:r>
      <w:r w:rsidR="00B8618D">
        <w:rPr>
          <w:rFonts w:hint="eastAsia"/>
          <w:lang w:val="en-GB"/>
        </w:rPr>
        <w:t>。</w:t>
      </w:r>
      <w:r w:rsidR="00853323">
        <w:rPr>
          <w:rFonts w:hint="eastAsia"/>
          <w:lang w:val="en-GB"/>
        </w:rPr>
        <w:t>然而，</w:t>
      </w:r>
      <w:r w:rsidR="00B8618D">
        <w:rPr>
          <w:rFonts w:hint="eastAsia"/>
          <w:lang w:val="en-GB"/>
        </w:rPr>
        <w:t>在環</w:t>
      </w:r>
      <w:r w:rsidR="004158AA" w:rsidRPr="004158AA">
        <w:rPr>
          <w:rFonts w:hint="eastAsia"/>
          <w:lang w:val="en-GB"/>
        </w:rPr>
        <w:t>球對人工智能及其他新科技的</w:t>
      </w:r>
      <w:r w:rsidR="00B8618D">
        <w:rPr>
          <w:rFonts w:hint="eastAsia"/>
          <w:lang w:val="en-GB"/>
        </w:rPr>
        <w:t>龐</w:t>
      </w:r>
      <w:r w:rsidR="004158AA" w:rsidRPr="004158AA">
        <w:rPr>
          <w:rFonts w:hint="eastAsia"/>
          <w:lang w:val="en-GB"/>
        </w:rPr>
        <w:t>大投資</w:t>
      </w:r>
      <w:r w:rsidR="00B8618D">
        <w:rPr>
          <w:rFonts w:hint="eastAsia"/>
          <w:lang w:val="en-GB"/>
        </w:rPr>
        <w:t>下，</w:t>
      </w:r>
      <w:r w:rsidR="004158AA" w:rsidRPr="004158AA">
        <w:rPr>
          <w:rFonts w:hint="eastAsia"/>
          <w:lang w:val="en-GB"/>
        </w:rPr>
        <w:t>電子相關產品需求持續</w:t>
      </w:r>
      <w:r w:rsidR="00B8618D">
        <w:rPr>
          <w:rFonts w:hint="eastAsia"/>
          <w:lang w:val="en-GB"/>
        </w:rPr>
        <w:t>殷切</w:t>
      </w:r>
      <w:r w:rsidR="004158AA" w:rsidRPr="004158AA">
        <w:rPr>
          <w:rFonts w:hint="eastAsia"/>
          <w:lang w:val="en-GB"/>
        </w:rPr>
        <w:t>，加上區內貿易往來暢旺，</w:t>
      </w:r>
      <w:r w:rsidRPr="00643D21">
        <w:rPr>
          <w:rFonts w:hint="eastAsia"/>
          <w:lang w:val="en-GB" w:eastAsia="zh-HK"/>
        </w:rPr>
        <w:t>為</w:t>
      </w:r>
      <w:r w:rsidRPr="00643D21">
        <w:rPr>
          <w:rFonts w:hint="eastAsia"/>
          <w:lang w:val="en-GB"/>
        </w:rPr>
        <w:t>出口增長</w:t>
      </w:r>
      <w:r w:rsidR="003F3BB5">
        <w:rPr>
          <w:rFonts w:hint="eastAsia"/>
          <w:lang w:val="en-GB" w:eastAsia="zh-HK"/>
        </w:rPr>
        <w:t>帶來</w:t>
      </w:r>
      <w:r>
        <w:rPr>
          <w:rFonts w:hint="eastAsia"/>
          <w:lang w:val="en-GB"/>
        </w:rPr>
        <w:t>強勁刺激</w:t>
      </w:r>
      <w:r w:rsidRPr="00643D21">
        <w:rPr>
          <w:rFonts w:hint="eastAsia"/>
          <w:lang w:val="en-GB"/>
        </w:rPr>
        <w:t>。</w:t>
      </w:r>
      <w:bookmarkEnd w:id="4"/>
      <w:r w:rsidR="00025BD1">
        <w:rPr>
          <w:rFonts w:hint="eastAsia"/>
          <w:lang w:eastAsia="zh-HK"/>
        </w:rPr>
        <w:t>根</w:t>
      </w:r>
      <w:r w:rsidR="00025BD1">
        <w:rPr>
          <w:rFonts w:hint="eastAsia"/>
        </w:rPr>
        <w:t>據</w:t>
      </w:r>
      <w:r w:rsidRPr="00643D21">
        <w:rPr>
          <w:rFonts w:hint="eastAsia"/>
        </w:rPr>
        <w:t>對外商品貿易統計數字按主要市場分析</w:t>
      </w:r>
      <w:r w:rsidRPr="00643D21">
        <w:rPr>
          <w:rFonts w:hint="eastAsia"/>
          <w:lang w:val="en-GB"/>
        </w:rPr>
        <w:t>，</w:t>
      </w:r>
      <w:bookmarkStart w:id="5" w:name="_Hlk221713512"/>
      <w:r w:rsidRPr="00643D21">
        <w:rPr>
          <w:rFonts w:hint="eastAsia"/>
          <w:lang w:val="en-GB"/>
        </w:rPr>
        <w:t>輸往內地的出口</w:t>
      </w:r>
      <w:r w:rsidR="00135C48">
        <w:rPr>
          <w:rFonts w:hint="eastAsia"/>
          <w:lang w:val="en-GB"/>
        </w:rPr>
        <w:t>進一步錄得雙位數</w:t>
      </w:r>
      <w:r w:rsidR="00045CC2">
        <w:rPr>
          <w:rFonts w:hint="eastAsia"/>
          <w:lang w:eastAsia="zh-HK"/>
        </w:rPr>
        <w:t>升幅</w:t>
      </w:r>
      <w:r w:rsidR="00135C48">
        <w:rPr>
          <w:rFonts w:hint="eastAsia"/>
        </w:rPr>
        <w:t>。</w:t>
      </w:r>
      <w:r w:rsidRPr="00643D21">
        <w:rPr>
          <w:rFonts w:hint="eastAsia"/>
          <w:lang w:val="en-GB"/>
        </w:rPr>
        <w:t>輸往東盟市場的出口</w:t>
      </w:r>
      <w:r w:rsidRPr="00C54206">
        <w:rPr>
          <w:rFonts w:hint="eastAsia"/>
          <w:lang w:val="en-GB"/>
        </w:rPr>
        <w:t>飆升</w:t>
      </w:r>
      <w:r w:rsidR="00135C48">
        <w:rPr>
          <w:rFonts w:hint="eastAsia"/>
          <w:lang w:val="en-GB"/>
        </w:rPr>
        <w:t>，</w:t>
      </w:r>
      <w:r w:rsidRPr="00643D21">
        <w:rPr>
          <w:rFonts w:hint="eastAsia"/>
        </w:rPr>
        <w:t>輸往</w:t>
      </w:r>
      <w:r w:rsidRPr="00643D21">
        <w:rPr>
          <w:rFonts w:hint="eastAsia"/>
          <w:lang w:eastAsia="zh-HK"/>
        </w:rPr>
        <w:t>大部分</w:t>
      </w:r>
      <w:r w:rsidRPr="00643D21">
        <w:rPr>
          <w:rFonts w:hint="eastAsia"/>
        </w:rPr>
        <w:t>亞洲先進經濟體的出口</w:t>
      </w:r>
      <w:r w:rsidR="00946BE5">
        <w:rPr>
          <w:rFonts w:hint="eastAsia"/>
        </w:rPr>
        <w:t>見</w:t>
      </w:r>
      <w:r w:rsidR="00135C48">
        <w:rPr>
          <w:rFonts w:hint="eastAsia"/>
        </w:rPr>
        <w:t>不同程度的</w:t>
      </w:r>
      <w:r w:rsidRPr="00643D21">
        <w:rPr>
          <w:rFonts w:hint="eastAsia"/>
          <w:lang w:eastAsia="zh-HK"/>
        </w:rPr>
        <w:t>升幅</w:t>
      </w:r>
      <w:r w:rsidRPr="00643D21">
        <w:rPr>
          <w:rFonts w:hint="eastAsia"/>
        </w:rPr>
        <w:t>。輸往美國的出口</w:t>
      </w:r>
      <w:r w:rsidR="00946BE5" w:rsidRPr="00946BE5">
        <w:rPr>
          <w:rFonts w:hint="eastAsia"/>
        </w:rPr>
        <w:t>錄得加快升幅</w:t>
      </w:r>
      <w:r w:rsidRPr="00643D21">
        <w:rPr>
          <w:rFonts w:hint="eastAsia"/>
        </w:rPr>
        <w:t>，輸往歐盟的出口</w:t>
      </w:r>
      <w:r w:rsidR="00CC7CAA">
        <w:rPr>
          <w:rFonts w:hint="eastAsia"/>
        </w:rPr>
        <w:t>則</w:t>
      </w:r>
      <w:r w:rsidR="00B8618D">
        <w:rPr>
          <w:rFonts w:hint="eastAsia"/>
        </w:rPr>
        <w:t>在首三季</w:t>
      </w:r>
      <w:r w:rsidR="00135C48">
        <w:rPr>
          <w:rFonts w:hint="eastAsia"/>
        </w:rPr>
        <w:t>下跌</w:t>
      </w:r>
      <w:r w:rsidR="00B8618D">
        <w:rPr>
          <w:rFonts w:hint="eastAsia"/>
        </w:rPr>
        <w:t>，但在最後一季反彈</w:t>
      </w:r>
      <w:r w:rsidRPr="00643D21">
        <w:rPr>
          <w:rFonts w:hint="eastAsia"/>
        </w:rPr>
        <w:t>。</w:t>
      </w:r>
      <w:bookmarkEnd w:id="5"/>
      <w:r>
        <w:rPr>
          <w:rFonts w:hint="eastAsia"/>
        </w:rPr>
        <w:t>按</w:t>
      </w:r>
      <w:r w:rsidR="001A6DE4" w:rsidRPr="001A6DE4">
        <w:t>主要貨品類別</w:t>
      </w:r>
      <w:r>
        <w:rPr>
          <w:rFonts w:hint="eastAsia"/>
        </w:rPr>
        <w:t>分析，</w:t>
      </w:r>
      <w:r w:rsidR="001A6DE4" w:rsidRPr="001A6DE4">
        <w:t>大部分貨品的出口</w:t>
      </w:r>
      <w:r w:rsidR="00446061">
        <w:rPr>
          <w:rFonts w:hint="eastAsia"/>
          <w:lang w:eastAsia="zh-HK"/>
        </w:rPr>
        <w:t>錄得</w:t>
      </w:r>
      <w:r w:rsidR="00446061">
        <w:rPr>
          <w:rFonts w:hint="eastAsia"/>
        </w:rPr>
        <w:t>升</w:t>
      </w:r>
      <w:r w:rsidR="00446061">
        <w:rPr>
          <w:rFonts w:hint="eastAsia"/>
          <w:lang w:eastAsia="zh-HK"/>
        </w:rPr>
        <w:t>幅</w:t>
      </w:r>
      <w:r w:rsidR="001A6DE4" w:rsidRPr="001A6DE4">
        <w:t>，</w:t>
      </w:r>
      <w:r w:rsidR="00446061" w:rsidRPr="00446061">
        <w:rPr>
          <w:rFonts w:hint="eastAsia"/>
        </w:rPr>
        <w:t>其中</w:t>
      </w:r>
      <w:r w:rsidR="001A6DE4" w:rsidRPr="001A6DE4">
        <w:t>電動機械及相關零件，以及通訊及錄音設備的出口保持強勁表現。</w:t>
      </w:r>
    </w:p>
    <w:p w14:paraId="79EA269A" w14:textId="6460E03B" w:rsidR="002B6908" w:rsidRDefault="002B6908" w:rsidP="0093046C">
      <w:pPr>
        <w:rPr>
          <w:lang w:val="en-GB"/>
        </w:rPr>
      </w:pPr>
      <w:r w:rsidRPr="00643D21">
        <w:rPr>
          <w:rFonts w:hint="eastAsia"/>
          <w:b/>
          <w:lang w:val="en-GB"/>
        </w:rPr>
        <w:t>1</w:t>
      </w:r>
      <w:r w:rsidRPr="00643D21">
        <w:rPr>
          <w:b/>
          <w:lang w:val="en-GB"/>
        </w:rPr>
        <w:t>.</w:t>
      </w:r>
      <w:r>
        <w:rPr>
          <w:b/>
          <w:lang w:val="en-GB"/>
        </w:rPr>
        <w:t>5</w:t>
      </w:r>
      <w:r w:rsidRPr="00643D21">
        <w:rPr>
          <w:lang w:val="en-GB"/>
        </w:rPr>
        <w:tab/>
      </w:r>
      <w:r w:rsidRPr="00643D21">
        <w:rPr>
          <w:rFonts w:hint="eastAsia"/>
          <w:i/>
          <w:lang w:val="en-GB"/>
        </w:rPr>
        <w:t>服務輸出</w:t>
      </w:r>
      <w:bookmarkStart w:id="6" w:name="_Hlk221713810"/>
      <w:r w:rsidRPr="00643D21">
        <w:rPr>
          <w:rFonts w:hint="eastAsia"/>
          <w:lang w:val="en-GB"/>
        </w:rPr>
        <w:t>在</w:t>
      </w:r>
      <w:r>
        <w:rPr>
          <w:rFonts w:hint="eastAsia"/>
          <w:lang w:val="en-GB"/>
        </w:rPr>
        <w:t>二零二五年</w:t>
      </w:r>
      <w:r w:rsidR="002E29B4" w:rsidRPr="00643D21">
        <w:rPr>
          <w:rFonts w:hint="eastAsia"/>
          <w:lang w:val="en-GB"/>
        </w:rPr>
        <w:t>實質</w:t>
      </w:r>
      <w:r w:rsidR="002E29B4">
        <w:rPr>
          <w:rFonts w:hint="eastAsia"/>
          <w:lang w:val="en-GB"/>
        </w:rPr>
        <w:t>明</w:t>
      </w:r>
      <w:r w:rsidRPr="00643D21">
        <w:rPr>
          <w:rFonts w:hint="eastAsia"/>
          <w:lang w:val="en-GB" w:eastAsia="zh-HK"/>
        </w:rPr>
        <w:t>顯</w:t>
      </w:r>
      <w:r w:rsidRPr="00643D21">
        <w:rPr>
          <w:rFonts w:hint="eastAsia"/>
          <w:lang w:val="en-GB"/>
        </w:rPr>
        <w:t>擴張</w:t>
      </w:r>
      <w:r w:rsidR="004E01BA">
        <w:rPr>
          <w:lang w:val="en-GB"/>
        </w:rPr>
        <w:t>6.3%</w:t>
      </w:r>
      <w:r w:rsidR="002E29B4">
        <w:rPr>
          <w:rFonts w:hint="eastAsia"/>
          <w:lang w:val="en-GB"/>
        </w:rPr>
        <w:t>，較二零二四年的</w:t>
      </w:r>
      <w:r w:rsidR="002E29B4">
        <w:rPr>
          <w:rFonts w:hint="eastAsia"/>
        </w:rPr>
        <w:t>4.1</w:t>
      </w:r>
      <w:r w:rsidR="002E29B4" w:rsidRPr="00643D21">
        <w:rPr>
          <w:rFonts w:hint="eastAsia"/>
          <w:lang w:val="en-GB"/>
        </w:rPr>
        <w:t>%</w:t>
      </w:r>
      <w:r w:rsidR="002E29B4">
        <w:rPr>
          <w:rFonts w:hint="eastAsia"/>
          <w:lang w:val="en-GB"/>
        </w:rPr>
        <w:t>增長加快</w:t>
      </w:r>
      <w:r w:rsidRPr="00643D21">
        <w:rPr>
          <w:rFonts w:hint="eastAsia"/>
          <w:lang w:val="en-GB"/>
        </w:rPr>
        <w:t>。</w:t>
      </w:r>
      <w:bookmarkStart w:id="7" w:name="_Hlk221713829"/>
      <w:bookmarkEnd w:id="6"/>
      <w:r w:rsidRPr="00643D21">
        <w:rPr>
          <w:rFonts w:hint="eastAsia"/>
          <w:lang w:val="en-GB"/>
        </w:rPr>
        <w:t>所有主要服務組別的輸出</w:t>
      </w:r>
      <w:r w:rsidR="002E29B4">
        <w:rPr>
          <w:rFonts w:hint="eastAsia"/>
          <w:lang w:val="en-GB"/>
        </w:rPr>
        <w:t>均</w:t>
      </w:r>
      <w:r w:rsidR="00BF4390">
        <w:rPr>
          <w:rFonts w:hint="eastAsia"/>
          <w:lang w:eastAsia="zh-HK"/>
        </w:rPr>
        <w:t>錄得</w:t>
      </w:r>
      <w:r w:rsidR="002E29B4">
        <w:rPr>
          <w:rFonts w:hint="eastAsia"/>
          <w:lang w:eastAsia="zh-HK"/>
        </w:rPr>
        <w:t>增長</w:t>
      </w:r>
      <w:r w:rsidRPr="00643D21">
        <w:rPr>
          <w:rFonts w:hint="eastAsia"/>
          <w:lang w:val="en-GB"/>
        </w:rPr>
        <w:t>。具體而言，受惠於訪港旅遊業和跨境運輸量持續</w:t>
      </w:r>
      <w:r w:rsidRPr="00653D53">
        <w:rPr>
          <w:rFonts w:hint="eastAsia"/>
          <w:lang w:val="en-GB"/>
        </w:rPr>
        <w:t>增長</w:t>
      </w:r>
      <w:r w:rsidRPr="00643D21">
        <w:rPr>
          <w:rFonts w:hint="eastAsia"/>
          <w:lang w:val="en-GB"/>
        </w:rPr>
        <w:t>，旅遊和運輸服務輸出</w:t>
      </w:r>
      <w:r w:rsidR="00BF4390" w:rsidRPr="00BF4390">
        <w:rPr>
          <w:rFonts w:hint="eastAsia"/>
          <w:lang w:val="en-GB"/>
        </w:rPr>
        <w:t>進一步</w:t>
      </w:r>
      <w:r>
        <w:rPr>
          <w:rFonts w:hint="eastAsia"/>
          <w:lang w:val="en-GB"/>
        </w:rPr>
        <w:t>顯</w:t>
      </w:r>
      <w:r w:rsidR="002E29B4">
        <w:rPr>
          <w:rFonts w:hint="eastAsia"/>
          <w:lang w:val="en-GB"/>
        </w:rPr>
        <w:t>著</w:t>
      </w:r>
      <w:r w:rsidRPr="00643D21">
        <w:rPr>
          <w:rFonts w:hint="eastAsia"/>
          <w:lang w:val="en-GB"/>
        </w:rPr>
        <w:t>上升。</w:t>
      </w:r>
      <w:r w:rsidR="00BF4390">
        <w:rPr>
          <w:rFonts w:hint="eastAsia"/>
          <w:lang w:val="en-GB" w:eastAsia="zh-HK"/>
        </w:rPr>
        <w:t>隨着</w:t>
      </w:r>
      <w:r w:rsidR="00BF4390" w:rsidRPr="00643D21">
        <w:rPr>
          <w:rFonts w:hint="eastAsia"/>
          <w:lang w:val="en-GB" w:eastAsia="zh-HK"/>
        </w:rPr>
        <w:t>環球</w:t>
      </w:r>
      <w:r w:rsidR="00BF4390" w:rsidRPr="00643D21">
        <w:rPr>
          <w:rFonts w:hint="eastAsia"/>
          <w:lang w:val="en-GB"/>
        </w:rPr>
        <w:t>股市</w:t>
      </w:r>
      <w:r w:rsidR="00BF4390" w:rsidRPr="00643D21">
        <w:rPr>
          <w:rFonts w:hint="eastAsia"/>
          <w:lang w:val="en-GB" w:eastAsia="zh-HK"/>
        </w:rPr>
        <w:t>上升</w:t>
      </w:r>
      <w:r w:rsidR="00BF4390">
        <w:rPr>
          <w:rFonts w:hint="eastAsia"/>
          <w:lang w:val="en-GB" w:eastAsia="zh-HK"/>
        </w:rPr>
        <w:t>，</w:t>
      </w:r>
      <w:r>
        <w:rPr>
          <w:rFonts w:hint="eastAsia"/>
          <w:lang w:val="en-GB"/>
        </w:rPr>
        <w:t>跨境金融</w:t>
      </w:r>
      <w:r w:rsidRPr="00643D21">
        <w:rPr>
          <w:rFonts w:hint="eastAsia"/>
          <w:lang w:val="en-GB"/>
        </w:rPr>
        <w:t>服務</w:t>
      </w:r>
      <w:r>
        <w:rPr>
          <w:rFonts w:hint="eastAsia"/>
          <w:lang w:val="en-GB"/>
        </w:rPr>
        <w:t>活動</w:t>
      </w:r>
      <w:r w:rsidRPr="00643D21">
        <w:rPr>
          <w:rFonts w:hint="eastAsia"/>
          <w:lang w:val="en-GB"/>
        </w:rPr>
        <w:t>表現活躍，</w:t>
      </w:r>
      <w:r w:rsidRPr="00643D21">
        <w:rPr>
          <w:rFonts w:hint="eastAsia"/>
          <w:lang w:val="en-GB" w:eastAsia="zh-HK"/>
        </w:rPr>
        <w:t>支持</w:t>
      </w:r>
      <w:r w:rsidRPr="00643D21">
        <w:rPr>
          <w:rFonts w:hint="eastAsia"/>
          <w:lang w:val="en-GB"/>
        </w:rPr>
        <w:t>金融服務輸出</w:t>
      </w:r>
      <w:r w:rsidR="00045CC2" w:rsidRPr="00045CC2">
        <w:rPr>
          <w:rFonts w:hint="eastAsia"/>
          <w:lang w:val="en-GB"/>
        </w:rPr>
        <w:t>顯著</w:t>
      </w:r>
      <w:r w:rsidR="008671D6">
        <w:rPr>
          <w:rFonts w:hint="eastAsia"/>
          <w:lang w:val="en-GB"/>
        </w:rPr>
        <w:t>加快</w:t>
      </w:r>
      <w:r w:rsidR="00045CC2" w:rsidRPr="00643D21">
        <w:rPr>
          <w:rFonts w:hint="eastAsia"/>
          <w:lang w:val="en-GB" w:eastAsia="zh-HK"/>
        </w:rPr>
        <w:t>擴張</w:t>
      </w:r>
      <w:r w:rsidRPr="00643D21">
        <w:rPr>
          <w:rFonts w:hint="eastAsia"/>
          <w:lang w:val="en-GB" w:eastAsia="zh-HK"/>
        </w:rPr>
        <w:t>。</w:t>
      </w:r>
      <w:r w:rsidRPr="00643D21">
        <w:rPr>
          <w:rFonts w:hint="eastAsia"/>
          <w:lang w:val="en-GB"/>
        </w:rPr>
        <w:t>商用及其他服務輸出</w:t>
      </w:r>
      <w:r w:rsidRPr="00643D21">
        <w:rPr>
          <w:rFonts w:hint="eastAsia"/>
          <w:lang w:val="en-GB" w:eastAsia="zh-HK"/>
        </w:rPr>
        <w:t>亦進一步</w:t>
      </w:r>
      <w:r w:rsidR="002E29B4">
        <w:rPr>
          <w:rFonts w:hint="eastAsia"/>
          <w:lang w:val="en-GB" w:eastAsia="zh-HK"/>
        </w:rPr>
        <w:t>溫和</w:t>
      </w:r>
      <w:r w:rsidRPr="00643D21">
        <w:rPr>
          <w:rFonts w:hint="eastAsia"/>
          <w:lang w:val="en-GB"/>
        </w:rPr>
        <w:t>增長。</w:t>
      </w:r>
      <w:bookmarkEnd w:id="7"/>
    </w:p>
    <w:p w14:paraId="22B6CD2C" w14:textId="7942DF98" w:rsidR="007F3E43" w:rsidRDefault="007F3E43">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1F79AA4C" w14:textId="77777777" w:rsidR="002B6908" w:rsidRPr="000B0817" w:rsidRDefault="002B6908" w:rsidP="007F3E43">
      <w:pPr>
        <w:pStyle w:val="afffa"/>
        <w:spacing w:after="240"/>
        <w:rPr>
          <w:b/>
        </w:rPr>
      </w:pPr>
      <w:r w:rsidRPr="000B0817">
        <w:rPr>
          <w:rFonts w:hint="eastAsia"/>
          <w:kern w:val="2"/>
          <w:lang w:val="en-GB"/>
        </w:rPr>
        <w:lastRenderedPageBreak/>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與一年前比較的增減百分率</w:t>
      </w:r>
      <w:r w:rsidRPr="000B0817">
        <w:rPr>
          <w:b/>
        </w:rPr>
        <w:t>)</w:t>
      </w:r>
    </w:p>
    <w:tbl>
      <w:tblPr>
        <w:tblW w:w="6062" w:type="pct"/>
        <w:jc w:val="center"/>
        <w:tblLayout w:type="fixed"/>
        <w:tblCellMar>
          <w:left w:w="28" w:type="dxa"/>
          <w:right w:w="28" w:type="dxa"/>
        </w:tblCellMar>
        <w:tblLook w:val="0000" w:firstRow="0" w:lastRow="0" w:firstColumn="0" w:lastColumn="0" w:noHBand="0" w:noVBand="0"/>
      </w:tblPr>
      <w:tblGrid>
        <w:gridCol w:w="2845"/>
        <w:gridCol w:w="1039"/>
        <w:gridCol w:w="1036"/>
        <w:gridCol w:w="763"/>
        <w:gridCol w:w="765"/>
        <w:gridCol w:w="765"/>
        <w:gridCol w:w="772"/>
        <w:gridCol w:w="765"/>
        <w:gridCol w:w="750"/>
        <w:gridCol w:w="750"/>
        <w:gridCol w:w="748"/>
      </w:tblGrid>
      <w:tr w:rsidR="002B6908" w:rsidRPr="000B0817" w14:paraId="0E31DB63" w14:textId="77777777" w:rsidTr="00A744C2">
        <w:trPr>
          <w:jc w:val="center"/>
        </w:trPr>
        <w:tc>
          <w:tcPr>
            <w:tcW w:w="1293" w:type="pct"/>
          </w:tcPr>
          <w:p w14:paraId="1986F1F7" w14:textId="77777777" w:rsidR="002B6908" w:rsidRPr="000B0817" w:rsidRDefault="002B6908" w:rsidP="00CB68E7">
            <w:pPr>
              <w:keepNext/>
              <w:tabs>
                <w:tab w:val="clear" w:pos="936"/>
              </w:tabs>
              <w:snapToGrid w:val="0"/>
              <w:spacing w:afterLines="50" w:after="180" w:line="240" w:lineRule="atLeast"/>
              <w:jc w:val="center"/>
              <w:rPr>
                <w:sz w:val="20"/>
              </w:rPr>
            </w:pPr>
          </w:p>
        </w:tc>
        <w:tc>
          <w:tcPr>
            <w:tcW w:w="472" w:type="pct"/>
          </w:tcPr>
          <w:p w14:paraId="68FD47BA" w14:textId="77777777" w:rsidR="002B6908" w:rsidRPr="000B0817" w:rsidRDefault="002B6908" w:rsidP="00CB68E7">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r w:rsidRPr="000B0817">
              <w:rPr>
                <w:rFonts w:hint="eastAsia"/>
                <w:spacing w:val="-2"/>
                <w:sz w:val="18"/>
                <w:u w:val="single"/>
              </w:rPr>
              <w:t>二零</w:t>
            </w:r>
            <w:r>
              <w:rPr>
                <w:rFonts w:hint="eastAsia"/>
                <w:spacing w:val="-2"/>
                <w:sz w:val="18"/>
                <w:u w:val="single"/>
                <w:lang w:eastAsia="zh-HK"/>
              </w:rPr>
              <w:t>二</w:t>
            </w:r>
            <w:r>
              <w:rPr>
                <w:rFonts w:hint="eastAsia"/>
                <w:spacing w:val="-2"/>
                <w:sz w:val="18"/>
                <w:u w:val="single"/>
              </w:rPr>
              <w:t>四</w:t>
            </w:r>
            <w:r w:rsidRPr="000B0817">
              <w:rPr>
                <w:rFonts w:hint="eastAsia"/>
                <w:spacing w:val="-2"/>
                <w:sz w:val="18"/>
                <w:u w:val="single"/>
              </w:rPr>
              <w:t>年</w:t>
            </w:r>
            <w:r w:rsidRPr="000B0817">
              <w:rPr>
                <w:spacing w:val="-2"/>
                <w:sz w:val="18"/>
                <w:vertAlign w:val="superscript"/>
              </w:rPr>
              <w:t>#</w:t>
            </w:r>
          </w:p>
        </w:tc>
        <w:tc>
          <w:tcPr>
            <w:tcW w:w="471" w:type="pct"/>
          </w:tcPr>
          <w:p w14:paraId="57B590D9" w14:textId="77777777" w:rsidR="002B6908" w:rsidRPr="000B0817" w:rsidRDefault="002B6908" w:rsidP="007F3E43">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r w:rsidRPr="000B0817">
              <w:rPr>
                <w:rFonts w:hint="eastAsia"/>
                <w:spacing w:val="-2"/>
                <w:sz w:val="18"/>
                <w:u w:val="single"/>
              </w:rPr>
              <w:t>二零二</w:t>
            </w:r>
            <w:r w:rsidRPr="00320E71">
              <w:rPr>
                <w:rFonts w:hint="eastAsia"/>
                <w:spacing w:val="-2"/>
                <w:sz w:val="18"/>
                <w:u w:val="single"/>
              </w:rPr>
              <w:t>五</w:t>
            </w:r>
            <w:r w:rsidRPr="000B0817">
              <w:rPr>
                <w:rFonts w:hint="eastAsia"/>
                <w:spacing w:val="-2"/>
                <w:sz w:val="18"/>
                <w:u w:val="single"/>
              </w:rPr>
              <w:t>年</w:t>
            </w:r>
            <w:r w:rsidRPr="000B0817">
              <w:rPr>
                <w:spacing w:val="-2"/>
                <w:sz w:val="18"/>
                <w:vertAlign w:val="superscript"/>
              </w:rPr>
              <w:t>#</w:t>
            </w:r>
          </w:p>
        </w:tc>
        <w:tc>
          <w:tcPr>
            <w:tcW w:w="1393" w:type="pct"/>
            <w:gridSpan w:val="4"/>
          </w:tcPr>
          <w:p w14:paraId="6B82AC59" w14:textId="77777777" w:rsidR="002B6908" w:rsidRPr="000B0817" w:rsidRDefault="002B6908" w:rsidP="00CB68E7">
            <w:pPr>
              <w:keepNext/>
              <w:tabs>
                <w:tab w:val="clear" w:pos="936"/>
                <w:tab w:val="clear" w:pos="1560"/>
                <w:tab w:val="clear" w:pos="2184"/>
                <w:tab w:val="clear" w:pos="2808"/>
                <w:tab w:val="decimal" w:pos="327"/>
              </w:tabs>
              <w:snapToGrid w:val="0"/>
              <w:spacing w:afterLines="50" w:after="180" w:line="240" w:lineRule="atLeast"/>
              <w:jc w:val="center"/>
              <w:rPr>
                <w:spacing w:val="-2"/>
                <w:sz w:val="18"/>
                <w:u w:val="single"/>
              </w:rPr>
            </w:pPr>
            <w:r w:rsidRPr="000B0817">
              <w:rPr>
                <w:rFonts w:hint="eastAsia"/>
                <w:spacing w:val="-2"/>
                <w:sz w:val="18"/>
                <w:u w:val="single"/>
              </w:rPr>
              <w:t>二零二</w:t>
            </w:r>
            <w:r>
              <w:rPr>
                <w:rFonts w:hint="eastAsia"/>
                <w:spacing w:val="-2"/>
                <w:sz w:val="18"/>
                <w:u w:val="single"/>
              </w:rPr>
              <w:t>四</w:t>
            </w:r>
            <w:r w:rsidRPr="000B0817">
              <w:rPr>
                <w:rFonts w:hint="eastAsia"/>
                <w:spacing w:val="-2"/>
                <w:sz w:val="18"/>
                <w:u w:val="single"/>
              </w:rPr>
              <w:t>年</w:t>
            </w:r>
          </w:p>
        </w:tc>
        <w:tc>
          <w:tcPr>
            <w:tcW w:w="1370" w:type="pct"/>
            <w:gridSpan w:val="4"/>
          </w:tcPr>
          <w:p w14:paraId="0F1AB22B" w14:textId="77777777" w:rsidR="002B6908" w:rsidRPr="000B0817" w:rsidRDefault="002B6908" w:rsidP="00CB68E7">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二零</w:t>
            </w:r>
            <w:r>
              <w:rPr>
                <w:rFonts w:hint="eastAsia"/>
                <w:spacing w:val="-2"/>
                <w:sz w:val="18"/>
                <w:u w:val="single"/>
                <w:lang w:eastAsia="zh-HK"/>
              </w:rPr>
              <w:t>二</w:t>
            </w:r>
            <w:r w:rsidRPr="00320E71">
              <w:rPr>
                <w:rFonts w:hint="eastAsia"/>
                <w:spacing w:val="-2"/>
                <w:sz w:val="18"/>
                <w:u w:val="single"/>
              </w:rPr>
              <w:t>五</w:t>
            </w:r>
            <w:r w:rsidRPr="000B0817">
              <w:rPr>
                <w:rFonts w:hint="eastAsia"/>
                <w:spacing w:val="-2"/>
                <w:sz w:val="18"/>
                <w:u w:val="single"/>
              </w:rPr>
              <w:t>年</w:t>
            </w:r>
          </w:p>
        </w:tc>
      </w:tr>
      <w:tr w:rsidR="002B6908" w:rsidRPr="000B0817" w14:paraId="3B3B64CD" w14:textId="77777777" w:rsidTr="00A744C2">
        <w:trPr>
          <w:jc w:val="center"/>
        </w:trPr>
        <w:tc>
          <w:tcPr>
            <w:tcW w:w="1293" w:type="pct"/>
          </w:tcPr>
          <w:p w14:paraId="29BA2E8C" w14:textId="77777777" w:rsidR="002B6908" w:rsidRPr="000B0817" w:rsidRDefault="002B6908" w:rsidP="006D5A4A">
            <w:pPr>
              <w:keepNext/>
              <w:tabs>
                <w:tab w:val="clear" w:pos="936"/>
              </w:tabs>
              <w:snapToGrid w:val="0"/>
              <w:spacing w:afterLines="50" w:after="180" w:line="240" w:lineRule="atLeast"/>
              <w:jc w:val="center"/>
              <w:rPr>
                <w:i/>
                <w:spacing w:val="-2"/>
                <w:sz w:val="20"/>
              </w:rPr>
            </w:pPr>
            <w:r w:rsidRPr="000B0817">
              <w:rPr>
                <w:sz w:val="20"/>
              </w:rPr>
              <w:br w:type="page"/>
            </w:r>
          </w:p>
        </w:tc>
        <w:tc>
          <w:tcPr>
            <w:tcW w:w="472" w:type="pct"/>
          </w:tcPr>
          <w:p w14:paraId="66987292" w14:textId="77777777" w:rsidR="002B6908" w:rsidRPr="000B0817" w:rsidRDefault="002B6908" w:rsidP="006D5A4A">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p>
        </w:tc>
        <w:tc>
          <w:tcPr>
            <w:tcW w:w="471" w:type="pct"/>
          </w:tcPr>
          <w:p w14:paraId="01703059" w14:textId="77777777" w:rsidR="002B6908" w:rsidRPr="000B0817" w:rsidRDefault="002B6908" w:rsidP="006D5A4A">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p>
        </w:tc>
        <w:tc>
          <w:tcPr>
            <w:tcW w:w="347" w:type="pct"/>
          </w:tcPr>
          <w:p w14:paraId="47FB69A0" w14:textId="77777777" w:rsidR="002B6908" w:rsidRPr="000B0817" w:rsidRDefault="002B6908" w:rsidP="006D5A4A">
            <w:pPr>
              <w:keepNext/>
              <w:tabs>
                <w:tab w:val="clear" w:pos="936"/>
                <w:tab w:val="clear" w:pos="1560"/>
                <w:tab w:val="clear" w:pos="2184"/>
                <w:tab w:val="clear" w:pos="2808"/>
                <w:tab w:val="decimal" w:pos="327"/>
              </w:tabs>
              <w:snapToGrid w:val="0"/>
              <w:spacing w:afterLines="50" w:after="180" w:line="240" w:lineRule="atLeast"/>
              <w:jc w:val="center"/>
              <w:rPr>
                <w:spacing w:val="-2"/>
                <w:sz w:val="18"/>
              </w:rPr>
            </w:pPr>
            <w:r w:rsidRPr="000B0817">
              <w:rPr>
                <w:rFonts w:hint="eastAsia"/>
                <w:spacing w:val="-2"/>
                <w:sz w:val="18"/>
                <w:u w:val="single"/>
              </w:rPr>
              <w:t>第一季</w:t>
            </w:r>
            <w:r w:rsidRPr="000B0817">
              <w:rPr>
                <w:spacing w:val="-2"/>
                <w:sz w:val="18"/>
                <w:vertAlign w:val="superscript"/>
              </w:rPr>
              <w:t>#</w:t>
            </w:r>
          </w:p>
        </w:tc>
        <w:tc>
          <w:tcPr>
            <w:tcW w:w="348" w:type="pct"/>
          </w:tcPr>
          <w:p w14:paraId="130FE7CF" w14:textId="77777777" w:rsidR="002B6908" w:rsidRPr="000B0817" w:rsidRDefault="002B6908" w:rsidP="006D5A4A">
            <w:pPr>
              <w:keepNext/>
              <w:tabs>
                <w:tab w:val="clear" w:pos="936"/>
                <w:tab w:val="clear" w:pos="1560"/>
                <w:tab w:val="clear" w:pos="2184"/>
                <w:tab w:val="clear" w:pos="2808"/>
                <w:tab w:val="decimal" w:pos="327"/>
              </w:tabs>
              <w:snapToGrid w:val="0"/>
              <w:spacing w:afterLines="50" w:after="180" w:line="240" w:lineRule="atLeast"/>
              <w:jc w:val="center"/>
              <w:rPr>
                <w:spacing w:val="-2"/>
                <w:sz w:val="18"/>
              </w:rPr>
            </w:pPr>
            <w:r w:rsidRPr="000B0817">
              <w:rPr>
                <w:rFonts w:hint="eastAsia"/>
                <w:spacing w:val="-2"/>
                <w:sz w:val="18"/>
                <w:u w:val="single"/>
              </w:rPr>
              <w:t>第二季</w:t>
            </w:r>
            <w:r w:rsidRPr="000B0817">
              <w:rPr>
                <w:spacing w:val="-2"/>
                <w:sz w:val="18"/>
                <w:vertAlign w:val="superscript"/>
              </w:rPr>
              <w:t>#</w:t>
            </w:r>
          </w:p>
        </w:tc>
        <w:tc>
          <w:tcPr>
            <w:tcW w:w="348" w:type="pct"/>
          </w:tcPr>
          <w:p w14:paraId="643CB67B" w14:textId="77777777" w:rsidR="002B6908" w:rsidRPr="000B0817" w:rsidRDefault="002B6908" w:rsidP="006D5A4A">
            <w:pPr>
              <w:keepNext/>
              <w:tabs>
                <w:tab w:val="clear" w:pos="936"/>
                <w:tab w:val="clear" w:pos="1560"/>
                <w:tab w:val="clear" w:pos="2184"/>
                <w:tab w:val="clear" w:pos="2808"/>
                <w:tab w:val="decimal" w:pos="327"/>
              </w:tabs>
              <w:snapToGrid w:val="0"/>
              <w:spacing w:afterLines="50" w:after="180" w:line="240" w:lineRule="atLeast"/>
              <w:jc w:val="center"/>
              <w:rPr>
                <w:spacing w:val="-2"/>
                <w:sz w:val="18"/>
              </w:rPr>
            </w:pPr>
            <w:r w:rsidRPr="000B0817">
              <w:rPr>
                <w:rFonts w:hint="eastAsia"/>
                <w:spacing w:val="-2"/>
                <w:sz w:val="18"/>
                <w:u w:val="single"/>
              </w:rPr>
              <w:t>第三季</w:t>
            </w:r>
            <w:r w:rsidRPr="000B0817">
              <w:rPr>
                <w:spacing w:val="-2"/>
                <w:sz w:val="18"/>
                <w:vertAlign w:val="superscript"/>
              </w:rPr>
              <w:t>#</w:t>
            </w:r>
          </w:p>
        </w:tc>
        <w:tc>
          <w:tcPr>
            <w:tcW w:w="351" w:type="pct"/>
          </w:tcPr>
          <w:p w14:paraId="08317510" w14:textId="77777777" w:rsidR="002B6908" w:rsidRPr="000B0817" w:rsidRDefault="002B6908" w:rsidP="006D5A4A">
            <w:pPr>
              <w:keepNext/>
              <w:tabs>
                <w:tab w:val="clear" w:pos="936"/>
                <w:tab w:val="clear" w:pos="1560"/>
                <w:tab w:val="clear" w:pos="2184"/>
                <w:tab w:val="clear" w:pos="2808"/>
                <w:tab w:val="decimal" w:pos="327"/>
              </w:tabs>
              <w:snapToGrid w:val="0"/>
              <w:spacing w:afterLines="50" w:after="180" w:line="240" w:lineRule="atLeast"/>
              <w:jc w:val="center"/>
              <w:rPr>
                <w:spacing w:val="-2"/>
                <w:sz w:val="18"/>
              </w:rPr>
            </w:pPr>
            <w:r w:rsidRPr="000B0817">
              <w:rPr>
                <w:rFonts w:hint="eastAsia"/>
                <w:spacing w:val="-2"/>
                <w:sz w:val="18"/>
                <w:u w:val="single"/>
              </w:rPr>
              <w:t>第四季</w:t>
            </w:r>
            <w:r w:rsidRPr="000B0817">
              <w:rPr>
                <w:spacing w:val="-2"/>
                <w:sz w:val="18"/>
                <w:vertAlign w:val="superscript"/>
              </w:rPr>
              <w:t>#</w:t>
            </w:r>
          </w:p>
        </w:tc>
        <w:tc>
          <w:tcPr>
            <w:tcW w:w="348" w:type="pct"/>
          </w:tcPr>
          <w:p w14:paraId="6C649B43" w14:textId="77777777" w:rsidR="002B6908" w:rsidRPr="000B0817" w:rsidRDefault="002B6908" w:rsidP="006D5A4A">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第一季</w:t>
            </w:r>
            <w:r w:rsidRPr="000B0817">
              <w:rPr>
                <w:spacing w:val="-2"/>
                <w:sz w:val="18"/>
                <w:vertAlign w:val="superscript"/>
              </w:rPr>
              <w:t>#</w:t>
            </w:r>
          </w:p>
        </w:tc>
        <w:tc>
          <w:tcPr>
            <w:tcW w:w="341" w:type="pct"/>
          </w:tcPr>
          <w:p w14:paraId="6AA538DF" w14:textId="77777777" w:rsidR="002B6908" w:rsidRPr="000B0817" w:rsidRDefault="002B6908" w:rsidP="006D5A4A">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第</w:t>
            </w:r>
            <w:r>
              <w:rPr>
                <w:rFonts w:hint="eastAsia"/>
                <w:spacing w:val="-2"/>
                <w:sz w:val="18"/>
                <w:u w:val="single"/>
                <w:lang w:eastAsia="zh-HK"/>
              </w:rPr>
              <w:t>二</w:t>
            </w:r>
            <w:r w:rsidRPr="000B0817">
              <w:rPr>
                <w:rFonts w:hint="eastAsia"/>
                <w:spacing w:val="-2"/>
                <w:sz w:val="18"/>
                <w:u w:val="single"/>
              </w:rPr>
              <w:t>季</w:t>
            </w:r>
            <w:r w:rsidRPr="000B0817">
              <w:rPr>
                <w:spacing w:val="-2"/>
                <w:sz w:val="18"/>
                <w:vertAlign w:val="superscript"/>
              </w:rPr>
              <w:t>#</w:t>
            </w:r>
          </w:p>
        </w:tc>
        <w:tc>
          <w:tcPr>
            <w:tcW w:w="341" w:type="pct"/>
          </w:tcPr>
          <w:p w14:paraId="5F83B3A1" w14:textId="77777777" w:rsidR="002B6908" w:rsidRPr="000B0817" w:rsidRDefault="002B6908" w:rsidP="006D5A4A">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第三季</w:t>
            </w:r>
            <w:r w:rsidRPr="000B0817">
              <w:rPr>
                <w:spacing w:val="-2"/>
                <w:sz w:val="18"/>
                <w:vertAlign w:val="superscript"/>
              </w:rPr>
              <w:t>#</w:t>
            </w:r>
          </w:p>
        </w:tc>
        <w:tc>
          <w:tcPr>
            <w:tcW w:w="340" w:type="pct"/>
          </w:tcPr>
          <w:p w14:paraId="5A8F018D" w14:textId="77777777" w:rsidR="002B6908" w:rsidRPr="000B0817" w:rsidRDefault="002B6908" w:rsidP="006D5A4A">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Pr>
                <w:rFonts w:hint="eastAsia"/>
                <w:spacing w:val="-2"/>
                <w:sz w:val="18"/>
                <w:u w:val="single"/>
              </w:rPr>
              <w:t>第四季</w:t>
            </w:r>
            <w:r w:rsidRPr="000B0817">
              <w:rPr>
                <w:spacing w:val="-2"/>
                <w:sz w:val="18"/>
                <w:vertAlign w:val="superscript"/>
              </w:rPr>
              <w:t>#</w:t>
            </w:r>
          </w:p>
        </w:tc>
      </w:tr>
      <w:tr w:rsidR="002B6908" w:rsidRPr="000B0817" w14:paraId="3365EFC9" w14:textId="77777777" w:rsidTr="00A744C2">
        <w:trPr>
          <w:jc w:val="center"/>
        </w:trPr>
        <w:tc>
          <w:tcPr>
            <w:tcW w:w="1293" w:type="pct"/>
          </w:tcPr>
          <w:p w14:paraId="7096D97F" w14:textId="77777777" w:rsidR="002B6908" w:rsidRPr="000B0817" w:rsidRDefault="002B6908" w:rsidP="006D5A4A">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2"/>
                <w:sz w:val="20"/>
              </w:rPr>
            </w:pPr>
            <w:r w:rsidRPr="000B0817">
              <w:rPr>
                <w:rFonts w:hAnsi="華康細明體" w:hint="eastAsia"/>
                <w:i/>
                <w:spacing w:val="-2"/>
                <w:sz w:val="20"/>
              </w:rPr>
              <w:t>本地生產總值與其主要開支</w:t>
            </w:r>
            <w:r>
              <w:rPr>
                <w:rFonts w:hAnsi="華康細明體"/>
                <w:i/>
                <w:spacing w:val="-2"/>
                <w:sz w:val="20"/>
              </w:rPr>
              <w:br/>
            </w:r>
            <w:r w:rsidRPr="000B0817">
              <w:rPr>
                <w:rFonts w:hAnsi="華康細明體" w:hint="eastAsia"/>
                <w:i/>
                <w:spacing w:val="-2"/>
                <w:sz w:val="20"/>
                <w:u w:val="single"/>
              </w:rPr>
              <w:t>組成項目的實質增減百分率</w:t>
            </w:r>
          </w:p>
        </w:tc>
        <w:tc>
          <w:tcPr>
            <w:tcW w:w="472" w:type="pct"/>
          </w:tcPr>
          <w:p w14:paraId="6622D2D9" w14:textId="77777777" w:rsidR="002B6908" w:rsidRPr="000B0817" w:rsidRDefault="002B6908" w:rsidP="006D5A4A">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18"/>
                <w:szCs w:val="18"/>
                <w:lang w:val="en-GB"/>
              </w:rPr>
            </w:pPr>
          </w:p>
        </w:tc>
        <w:tc>
          <w:tcPr>
            <w:tcW w:w="471" w:type="pct"/>
          </w:tcPr>
          <w:p w14:paraId="60FFB675" w14:textId="77777777" w:rsidR="002B6908" w:rsidRPr="000B0817" w:rsidRDefault="002B6908" w:rsidP="006D5A4A">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p>
        </w:tc>
        <w:tc>
          <w:tcPr>
            <w:tcW w:w="347" w:type="pct"/>
          </w:tcPr>
          <w:p w14:paraId="4D07885C" w14:textId="77777777" w:rsidR="002B6908" w:rsidRPr="000B0817" w:rsidRDefault="002B6908" w:rsidP="006D5A4A">
            <w:pPr>
              <w:keepNext/>
              <w:tabs>
                <w:tab w:val="clear" w:pos="936"/>
                <w:tab w:val="clear" w:pos="1560"/>
                <w:tab w:val="clear" w:pos="2184"/>
                <w:tab w:val="clear" w:pos="2808"/>
                <w:tab w:val="decimal" w:pos="327"/>
              </w:tabs>
              <w:adjustRightInd/>
              <w:snapToGrid w:val="0"/>
              <w:spacing w:after="0" w:line="240" w:lineRule="atLeast"/>
              <w:textAlignment w:val="auto"/>
              <w:rPr>
                <w:snapToGrid w:val="0"/>
                <w:spacing w:val="0"/>
                <w:kern w:val="2"/>
                <w:sz w:val="18"/>
                <w:szCs w:val="18"/>
                <w:lang w:val="en-GB"/>
              </w:rPr>
            </w:pPr>
          </w:p>
        </w:tc>
        <w:tc>
          <w:tcPr>
            <w:tcW w:w="348" w:type="pct"/>
          </w:tcPr>
          <w:p w14:paraId="350713CE" w14:textId="77777777" w:rsidR="002B6908" w:rsidRPr="000B0817" w:rsidDel="001815A6" w:rsidRDefault="002B6908" w:rsidP="006D5A4A">
            <w:pPr>
              <w:keepNext/>
              <w:tabs>
                <w:tab w:val="clear" w:pos="936"/>
                <w:tab w:val="clear" w:pos="1560"/>
                <w:tab w:val="clear" w:pos="2184"/>
                <w:tab w:val="clear" w:pos="2808"/>
                <w:tab w:val="decimal" w:pos="327"/>
              </w:tabs>
              <w:adjustRightInd/>
              <w:snapToGrid w:val="0"/>
              <w:spacing w:after="0" w:line="240" w:lineRule="atLeast"/>
              <w:textAlignment w:val="auto"/>
              <w:rPr>
                <w:snapToGrid w:val="0"/>
                <w:spacing w:val="0"/>
                <w:kern w:val="2"/>
                <w:sz w:val="18"/>
                <w:szCs w:val="18"/>
                <w:lang w:val="en-GB"/>
              </w:rPr>
            </w:pPr>
          </w:p>
        </w:tc>
        <w:tc>
          <w:tcPr>
            <w:tcW w:w="348" w:type="pct"/>
          </w:tcPr>
          <w:p w14:paraId="6B8F8C44" w14:textId="77777777" w:rsidR="002B6908" w:rsidRPr="000B0817" w:rsidDel="001815A6" w:rsidRDefault="002B6908" w:rsidP="006D5A4A">
            <w:pPr>
              <w:keepNext/>
              <w:tabs>
                <w:tab w:val="clear" w:pos="936"/>
                <w:tab w:val="clear" w:pos="1560"/>
                <w:tab w:val="clear" w:pos="2184"/>
                <w:tab w:val="clear" w:pos="2808"/>
                <w:tab w:val="decimal" w:pos="327"/>
              </w:tabs>
              <w:adjustRightInd/>
              <w:snapToGrid w:val="0"/>
              <w:spacing w:after="0" w:line="240" w:lineRule="atLeast"/>
              <w:ind w:right="-15"/>
              <w:textAlignment w:val="auto"/>
              <w:rPr>
                <w:snapToGrid w:val="0"/>
                <w:spacing w:val="0"/>
                <w:kern w:val="2"/>
                <w:sz w:val="18"/>
                <w:szCs w:val="18"/>
                <w:lang w:val="en-GB"/>
              </w:rPr>
            </w:pPr>
          </w:p>
        </w:tc>
        <w:tc>
          <w:tcPr>
            <w:tcW w:w="351" w:type="pct"/>
          </w:tcPr>
          <w:p w14:paraId="7D050303" w14:textId="77777777" w:rsidR="002B6908" w:rsidRPr="000B0817" w:rsidRDefault="002B6908" w:rsidP="006D5A4A">
            <w:pPr>
              <w:keepNext/>
              <w:tabs>
                <w:tab w:val="clear" w:pos="936"/>
                <w:tab w:val="clear" w:pos="1560"/>
                <w:tab w:val="clear" w:pos="2184"/>
                <w:tab w:val="clear" w:pos="2808"/>
                <w:tab w:val="decimal" w:pos="327"/>
              </w:tabs>
              <w:adjustRightInd/>
              <w:snapToGrid w:val="0"/>
              <w:spacing w:after="0" w:line="240" w:lineRule="atLeast"/>
              <w:ind w:right="-15"/>
              <w:textAlignment w:val="auto"/>
              <w:rPr>
                <w:snapToGrid w:val="0"/>
                <w:spacing w:val="0"/>
                <w:kern w:val="2"/>
                <w:sz w:val="18"/>
                <w:szCs w:val="18"/>
                <w:lang w:val="en-GB"/>
              </w:rPr>
            </w:pPr>
          </w:p>
        </w:tc>
        <w:tc>
          <w:tcPr>
            <w:tcW w:w="348" w:type="pct"/>
          </w:tcPr>
          <w:p w14:paraId="44518319" w14:textId="77777777" w:rsidR="002B6908" w:rsidRPr="000B0817" w:rsidRDefault="002B6908" w:rsidP="006D5A4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41" w:type="pct"/>
          </w:tcPr>
          <w:p w14:paraId="061F3D69" w14:textId="77777777" w:rsidR="002B6908" w:rsidRPr="000B0817" w:rsidRDefault="002B6908" w:rsidP="006D5A4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41" w:type="pct"/>
          </w:tcPr>
          <w:p w14:paraId="7783AB20" w14:textId="77777777" w:rsidR="002B6908" w:rsidRPr="000B0817" w:rsidRDefault="002B6908" w:rsidP="006D5A4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40" w:type="pct"/>
          </w:tcPr>
          <w:p w14:paraId="1148DD7E" w14:textId="77777777" w:rsidR="002B6908" w:rsidRPr="000B0817" w:rsidRDefault="002B6908" w:rsidP="006D5A4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r>
      <w:tr w:rsidR="002B6908" w:rsidRPr="00025592" w14:paraId="65513508" w14:textId="77777777" w:rsidTr="00CB68E7">
        <w:trPr>
          <w:jc w:val="center"/>
        </w:trPr>
        <w:tc>
          <w:tcPr>
            <w:tcW w:w="1293" w:type="pct"/>
          </w:tcPr>
          <w:p w14:paraId="68ACB0A8" w14:textId="77777777" w:rsidR="002B6908" w:rsidRPr="000B0817" w:rsidRDefault="002B6908" w:rsidP="007F3E43">
            <w:pPr>
              <w:keepNext/>
              <w:tabs>
                <w:tab w:val="clear" w:pos="936"/>
              </w:tabs>
              <w:snapToGrid w:val="0"/>
              <w:spacing w:afterLines="30" w:after="108" w:line="240" w:lineRule="atLeast"/>
              <w:rPr>
                <w:spacing w:val="-2"/>
                <w:sz w:val="20"/>
              </w:rPr>
            </w:pPr>
            <w:r w:rsidRPr="000B0817">
              <w:rPr>
                <w:rFonts w:hint="eastAsia"/>
                <w:spacing w:val="-2"/>
                <w:sz w:val="20"/>
              </w:rPr>
              <w:t>私人消費開支</w:t>
            </w:r>
          </w:p>
        </w:tc>
        <w:tc>
          <w:tcPr>
            <w:tcW w:w="472" w:type="pct"/>
          </w:tcPr>
          <w:p w14:paraId="4402178A"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-0.2</w:t>
            </w:r>
          </w:p>
        </w:tc>
        <w:tc>
          <w:tcPr>
            <w:tcW w:w="471" w:type="pct"/>
          </w:tcPr>
          <w:p w14:paraId="1F4DE24D" w14:textId="4B9BED9F" w:rsidR="002B6908" w:rsidRPr="00320E71" w:rsidRDefault="0042539C"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Pr>
                <w:spacing w:val="0"/>
                <w:sz w:val="20"/>
                <w:lang w:eastAsia="zh-HK"/>
              </w:rPr>
              <w:t>1.7</w:t>
            </w:r>
          </w:p>
        </w:tc>
        <w:tc>
          <w:tcPr>
            <w:tcW w:w="347" w:type="pct"/>
          </w:tcPr>
          <w:p w14:paraId="09EF5D4C"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1.4</w:t>
            </w:r>
          </w:p>
          <w:p w14:paraId="3EDADE5D"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rPr>
            </w:pPr>
            <w:r w:rsidRPr="00320E71">
              <w:rPr>
                <w:spacing w:val="0"/>
                <w:sz w:val="20"/>
                <w:lang w:eastAsia="zh-HK"/>
              </w:rPr>
              <w:t>(0.4)</w:t>
            </w:r>
          </w:p>
        </w:tc>
        <w:tc>
          <w:tcPr>
            <w:tcW w:w="348" w:type="pct"/>
          </w:tcPr>
          <w:p w14:paraId="6D9160A3"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-1.5</w:t>
            </w:r>
          </w:p>
          <w:p w14:paraId="7D3538A9"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(-0.4)</w:t>
            </w:r>
          </w:p>
        </w:tc>
        <w:tc>
          <w:tcPr>
            <w:tcW w:w="348" w:type="pct"/>
          </w:tcPr>
          <w:p w14:paraId="7DCB978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-0.7</w:t>
            </w:r>
          </w:p>
          <w:p w14:paraId="068080FE"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(0.1)</w:t>
            </w:r>
          </w:p>
        </w:tc>
        <w:tc>
          <w:tcPr>
            <w:tcW w:w="351" w:type="pct"/>
          </w:tcPr>
          <w:p w14:paraId="0AE1424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0.2</w:t>
            </w:r>
          </w:p>
          <w:p w14:paraId="7EB7710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(0.2)</w:t>
            </w:r>
          </w:p>
        </w:tc>
        <w:tc>
          <w:tcPr>
            <w:tcW w:w="348" w:type="pct"/>
          </w:tcPr>
          <w:p w14:paraId="5E7738C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-0.9</w:t>
            </w:r>
          </w:p>
          <w:p w14:paraId="1ECB4A5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(-0.7)</w:t>
            </w:r>
          </w:p>
        </w:tc>
        <w:tc>
          <w:tcPr>
            <w:tcW w:w="341" w:type="pct"/>
          </w:tcPr>
          <w:p w14:paraId="77F0EAE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2.3</w:t>
            </w:r>
          </w:p>
          <w:p w14:paraId="7071DD8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(2.7)</w:t>
            </w:r>
          </w:p>
        </w:tc>
        <w:tc>
          <w:tcPr>
            <w:tcW w:w="341" w:type="pct"/>
          </w:tcPr>
          <w:p w14:paraId="5B4BF32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2.4</w:t>
            </w:r>
          </w:p>
          <w:p w14:paraId="0BBD310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(0.2)</w:t>
            </w:r>
          </w:p>
        </w:tc>
        <w:tc>
          <w:tcPr>
            <w:tcW w:w="340" w:type="pct"/>
          </w:tcPr>
          <w:p w14:paraId="740DF8E2" w14:textId="49EA944E"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w:t>
            </w:r>
            <w:r w:rsidR="00612B07">
              <w:rPr>
                <w:spacing w:val="0"/>
                <w:sz w:val="20"/>
                <w:lang w:eastAsia="zh-HK"/>
              </w:rPr>
              <w:t>7</w:t>
            </w:r>
          </w:p>
          <w:p w14:paraId="5711EA2A" w14:textId="3AEEF16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w:t>
            </w:r>
            <w:r w:rsidR="00612B07">
              <w:rPr>
                <w:spacing w:val="0"/>
                <w:sz w:val="20"/>
                <w:lang w:eastAsia="zh-HK"/>
              </w:rPr>
              <w:t>6</w:t>
            </w:r>
            <w:r w:rsidRPr="00261A00">
              <w:rPr>
                <w:spacing w:val="0"/>
                <w:sz w:val="20"/>
                <w:lang w:eastAsia="zh-HK"/>
              </w:rPr>
              <w:t>)</w:t>
            </w:r>
          </w:p>
        </w:tc>
      </w:tr>
      <w:tr w:rsidR="002B6908" w:rsidRPr="008A1CAF" w14:paraId="3E2D64EC" w14:textId="77777777" w:rsidTr="00CB68E7">
        <w:trPr>
          <w:jc w:val="center"/>
        </w:trPr>
        <w:tc>
          <w:tcPr>
            <w:tcW w:w="1293" w:type="pct"/>
          </w:tcPr>
          <w:p w14:paraId="776C63B2" w14:textId="77777777" w:rsidR="002B6908" w:rsidRPr="000B0817" w:rsidRDefault="002B6908" w:rsidP="007F3E43">
            <w:pPr>
              <w:keepNext/>
              <w:tabs>
                <w:tab w:val="clear" w:pos="936"/>
              </w:tabs>
              <w:snapToGrid w:val="0"/>
              <w:spacing w:afterLines="30" w:after="108" w:line="240" w:lineRule="atLeast"/>
              <w:rPr>
                <w:spacing w:val="-2"/>
                <w:sz w:val="20"/>
              </w:rPr>
            </w:pPr>
            <w:r w:rsidRPr="000B0817">
              <w:rPr>
                <w:rFonts w:hint="eastAsia"/>
                <w:spacing w:val="-2"/>
                <w:sz w:val="20"/>
              </w:rPr>
              <w:t>政府消費開支</w:t>
            </w:r>
          </w:p>
        </w:tc>
        <w:tc>
          <w:tcPr>
            <w:tcW w:w="472" w:type="pct"/>
          </w:tcPr>
          <w:p w14:paraId="1439A42B"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rPr>
              <w:t>0.7</w:t>
            </w:r>
          </w:p>
        </w:tc>
        <w:tc>
          <w:tcPr>
            <w:tcW w:w="471" w:type="pct"/>
          </w:tcPr>
          <w:p w14:paraId="025BCCE2"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rPr>
              <w:t>1.6</w:t>
            </w:r>
          </w:p>
        </w:tc>
        <w:tc>
          <w:tcPr>
            <w:tcW w:w="347" w:type="pct"/>
          </w:tcPr>
          <w:p w14:paraId="16CFA39D"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-1.5</w:t>
            </w:r>
          </w:p>
          <w:p w14:paraId="36C489A4"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(0.9)</w:t>
            </w:r>
          </w:p>
        </w:tc>
        <w:tc>
          <w:tcPr>
            <w:tcW w:w="348" w:type="pct"/>
          </w:tcPr>
          <w:p w14:paraId="2CE12DA0"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1.3</w:t>
            </w:r>
          </w:p>
          <w:p w14:paraId="55A00CD2"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(-0.7)</w:t>
            </w:r>
          </w:p>
        </w:tc>
        <w:tc>
          <w:tcPr>
            <w:tcW w:w="348" w:type="pct"/>
          </w:tcPr>
          <w:p w14:paraId="7818A8E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1.3</w:t>
            </w:r>
          </w:p>
          <w:p w14:paraId="6513C2B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(0.5)</w:t>
            </w:r>
          </w:p>
        </w:tc>
        <w:tc>
          <w:tcPr>
            <w:tcW w:w="351" w:type="pct"/>
          </w:tcPr>
          <w:p w14:paraId="4221AD7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1.8</w:t>
            </w:r>
          </w:p>
          <w:p w14:paraId="21077C0E"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(1.2)</w:t>
            </w:r>
          </w:p>
        </w:tc>
        <w:tc>
          <w:tcPr>
            <w:tcW w:w="348" w:type="pct"/>
          </w:tcPr>
          <w:p w14:paraId="372EDAC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0.6</w:t>
            </w:r>
          </w:p>
          <w:p w14:paraId="1B8D1A1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(-0.3)</w:t>
            </w:r>
          </w:p>
        </w:tc>
        <w:tc>
          <w:tcPr>
            <w:tcW w:w="341" w:type="pct"/>
          </w:tcPr>
          <w:p w14:paraId="0F2F4EA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2.6</w:t>
            </w:r>
          </w:p>
          <w:p w14:paraId="24E95C7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(1.0)</w:t>
            </w:r>
          </w:p>
        </w:tc>
        <w:tc>
          <w:tcPr>
            <w:tcW w:w="341" w:type="pct"/>
          </w:tcPr>
          <w:p w14:paraId="278E495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2.0</w:t>
            </w:r>
          </w:p>
          <w:p w14:paraId="18A0098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(0.2)</w:t>
            </w:r>
          </w:p>
        </w:tc>
        <w:tc>
          <w:tcPr>
            <w:tcW w:w="340" w:type="pct"/>
          </w:tcPr>
          <w:p w14:paraId="4E99B2F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1.4</w:t>
            </w:r>
          </w:p>
          <w:p w14:paraId="7972A4E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(0.3)</w:t>
            </w:r>
          </w:p>
        </w:tc>
      </w:tr>
      <w:tr w:rsidR="002B6908" w:rsidRPr="00025592" w14:paraId="4C4A8873" w14:textId="77777777" w:rsidTr="00CB68E7">
        <w:trPr>
          <w:jc w:val="center"/>
        </w:trPr>
        <w:tc>
          <w:tcPr>
            <w:tcW w:w="1293" w:type="pct"/>
          </w:tcPr>
          <w:p w14:paraId="6E858953" w14:textId="77777777" w:rsidR="002B6908" w:rsidRPr="000B0817" w:rsidRDefault="002B6908" w:rsidP="007F3E43">
            <w:pPr>
              <w:keepNext/>
              <w:tabs>
                <w:tab w:val="clear" w:pos="936"/>
              </w:tabs>
              <w:snapToGrid w:val="0"/>
              <w:spacing w:afterLines="30" w:after="108" w:line="240" w:lineRule="atLeast"/>
              <w:rPr>
                <w:spacing w:val="-2"/>
                <w:sz w:val="20"/>
              </w:rPr>
            </w:pPr>
            <w:r w:rsidRPr="000B0817">
              <w:rPr>
                <w:rFonts w:hint="eastAsia"/>
                <w:spacing w:val="-2"/>
                <w:sz w:val="20"/>
              </w:rPr>
              <w:t>本地固定資本形成總額</w:t>
            </w:r>
          </w:p>
        </w:tc>
        <w:tc>
          <w:tcPr>
            <w:tcW w:w="472" w:type="pct"/>
          </w:tcPr>
          <w:p w14:paraId="13F21BF5"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1.9</w:t>
            </w:r>
          </w:p>
        </w:tc>
        <w:tc>
          <w:tcPr>
            <w:tcW w:w="471" w:type="pct"/>
          </w:tcPr>
          <w:p w14:paraId="4A274192" w14:textId="3A50D3AD"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4.</w:t>
            </w:r>
            <w:r w:rsidR="0042539C">
              <w:rPr>
                <w:spacing w:val="0"/>
                <w:sz w:val="20"/>
                <w:lang w:eastAsia="zh-HK"/>
              </w:rPr>
              <w:t>3</w:t>
            </w:r>
          </w:p>
        </w:tc>
        <w:tc>
          <w:tcPr>
            <w:tcW w:w="347" w:type="pct"/>
          </w:tcPr>
          <w:p w14:paraId="5F0B6763"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-0.7</w:t>
            </w:r>
          </w:p>
        </w:tc>
        <w:tc>
          <w:tcPr>
            <w:tcW w:w="348" w:type="pct"/>
          </w:tcPr>
          <w:p w14:paraId="538A29A4"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2.8</w:t>
            </w:r>
          </w:p>
        </w:tc>
        <w:tc>
          <w:tcPr>
            <w:tcW w:w="348" w:type="pct"/>
          </w:tcPr>
          <w:p w14:paraId="766C48E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6.4</w:t>
            </w:r>
          </w:p>
        </w:tc>
        <w:tc>
          <w:tcPr>
            <w:tcW w:w="351" w:type="pct"/>
          </w:tcPr>
          <w:p w14:paraId="333594F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-1.0</w:t>
            </w:r>
          </w:p>
        </w:tc>
        <w:tc>
          <w:tcPr>
            <w:tcW w:w="348" w:type="pct"/>
          </w:tcPr>
          <w:p w14:paraId="29A0B9D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1.4</w:t>
            </w:r>
          </w:p>
        </w:tc>
        <w:tc>
          <w:tcPr>
            <w:tcW w:w="341" w:type="pct"/>
          </w:tcPr>
          <w:p w14:paraId="160685D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1.8</w:t>
            </w:r>
          </w:p>
        </w:tc>
        <w:tc>
          <w:tcPr>
            <w:tcW w:w="341" w:type="pct"/>
          </w:tcPr>
          <w:p w14:paraId="1348371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3.4</w:t>
            </w:r>
          </w:p>
        </w:tc>
        <w:tc>
          <w:tcPr>
            <w:tcW w:w="340" w:type="pct"/>
          </w:tcPr>
          <w:p w14:paraId="5475F526" w14:textId="208558A3"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10.</w:t>
            </w:r>
            <w:r w:rsidR="00612B07">
              <w:rPr>
                <w:spacing w:val="0"/>
                <w:sz w:val="20"/>
                <w:lang w:eastAsia="zh-HK"/>
              </w:rPr>
              <w:t>5</w:t>
            </w:r>
          </w:p>
        </w:tc>
      </w:tr>
      <w:tr w:rsidR="002B6908" w:rsidRPr="00025592" w14:paraId="40CCD951" w14:textId="77777777" w:rsidTr="00CB68E7">
        <w:trPr>
          <w:jc w:val="center"/>
        </w:trPr>
        <w:tc>
          <w:tcPr>
            <w:tcW w:w="1293" w:type="pct"/>
            <w:vAlign w:val="center"/>
          </w:tcPr>
          <w:p w14:paraId="62616EDB" w14:textId="77777777" w:rsidR="002B6908" w:rsidRPr="000B0817" w:rsidRDefault="002B6908" w:rsidP="007F3E43">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0B0817">
              <w:rPr>
                <w:rFonts w:hAnsi="華康細明體" w:hint="eastAsia"/>
                <w:spacing w:val="-2"/>
                <w:sz w:val="20"/>
              </w:rPr>
              <w:t>樓宇及建造</w:t>
            </w:r>
          </w:p>
        </w:tc>
        <w:tc>
          <w:tcPr>
            <w:tcW w:w="472" w:type="pct"/>
          </w:tcPr>
          <w:p w14:paraId="4EE6A18C"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4.8</w:t>
            </w:r>
          </w:p>
        </w:tc>
        <w:tc>
          <w:tcPr>
            <w:tcW w:w="471" w:type="pct"/>
          </w:tcPr>
          <w:p w14:paraId="00D05779"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-9.4</w:t>
            </w:r>
          </w:p>
        </w:tc>
        <w:tc>
          <w:tcPr>
            <w:tcW w:w="347" w:type="pct"/>
          </w:tcPr>
          <w:p w14:paraId="53B867BD"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11.3</w:t>
            </w:r>
          </w:p>
        </w:tc>
        <w:tc>
          <w:tcPr>
            <w:tcW w:w="348" w:type="pct"/>
          </w:tcPr>
          <w:p w14:paraId="6470B2FF"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10.2</w:t>
            </w:r>
          </w:p>
        </w:tc>
        <w:tc>
          <w:tcPr>
            <w:tcW w:w="348" w:type="pct"/>
          </w:tcPr>
          <w:p w14:paraId="528FD72C"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1.2</w:t>
            </w:r>
          </w:p>
        </w:tc>
        <w:tc>
          <w:tcPr>
            <w:tcW w:w="351" w:type="pct"/>
          </w:tcPr>
          <w:p w14:paraId="733E9A7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-3.4</w:t>
            </w:r>
          </w:p>
        </w:tc>
        <w:tc>
          <w:tcPr>
            <w:tcW w:w="348" w:type="pct"/>
          </w:tcPr>
          <w:p w14:paraId="43B874C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-5.6</w:t>
            </w:r>
          </w:p>
        </w:tc>
        <w:tc>
          <w:tcPr>
            <w:tcW w:w="341" w:type="pct"/>
          </w:tcPr>
          <w:p w14:paraId="16652DA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-12.0</w:t>
            </w:r>
          </w:p>
        </w:tc>
        <w:tc>
          <w:tcPr>
            <w:tcW w:w="341" w:type="pct"/>
          </w:tcPr>
          <w:p w14:paraId="4294D8A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-10.8</w:t>
            </w:r>
          </w:p>
        </w:tc>
        <w:tc>
          <w:tcPr>
            <w:tcW w:w="340" w:type="pct"/>
          </w:tcPr>
          <w:p w14:paraId="6347491D"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-9.3</w:t>
            </w:r>
          </w:p>
        </w:tc>
      </w:tr>
      <w:tr w:rsidR="002B6908" w:rsidRPr="00025592" w14:paraId="033D729B" w14:textId="77777777" w:rsidTr="00CB68E7">
        <w:trPr>
          <w:jc w:val="center"/>
        </w:trPr>
        <w:tc>
          <w:tcPr>
            <w:tcW w:w="1293" w:type="pct"/>
          </w:tcPr>
          <w:p w14:paraId="0DB9D4F7" w14:textId="77777777" w:rsidR="002B6908" w:rsidRPr="000B0817" w:rsidRDefault="002B6908" w:rsidP="007F3E43">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2"/>
                <w:sz w:val="20"/>
              </w:rPr>
            </w:pPr>
            <w:r w:rsidRPr="000B0817">
              <w:rPr>
                <w:rFonts w:hAnsi="華康細明體" w:hint="eastAsia"/>
                <w:spacing w:val="-2"/>
                <w:sz w:val="20"/>
              </w:rPr>
              <w:t>擁有權轉讓費用</w:t>
            </w:r>
          </w:p>
        </w:tc>
        <w:tc>
          <w:tcPr>
            <w:tcW w:w="472" w:type="pct"/>
          </w:tcPr>
          <w:p w14:paraId="2D2BC7B9"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11.6</w:t>
            </w:r>
          </w:p>
        </w:tc>
        <w:tc>
          <w:tcPr>
            <w:tcW w:w="471" w:type="pct"/>
          </w:tcPr>
          <w:p w14:paraId="0399BC55"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38.9</w:t>
            </w:r>
          </w:p>
        </w:tc>
        <w:tc>
          <w:tcPr>
            <w:tcW w:w="347" w:type="pct"/>
          </w:tcPr>
          <w:p w14:paraId="3BDABE3A"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-35.7</w:t>
            </w:r>
          </w:p>
        </w:tc>
        <w:tc>
          <w:tcPr>
            <w:tcW w:w="348" w:type="pct"/>
          </w:tcPr>
          <w:p w14:paraId="51C09D7F"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31.5</w:t>
            </w:r>
          </w:p>
        </w:tc>
        <w:tc>
          <w:tcPr>
            <w:tcW w:w="348" w:type="pct"/>
          </w:tcPr>
          <w:p w14:paraId="6566F69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6.8</w:t>
            </w:r>
          </w:p>
        </w:tc>
        <w:tc>
          <w:tcPr>
            <w:tcW w:w="351" w:type="pct"/>
          </w:tcPr>
          <w:p w14:paraId="3A0ED67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74.9</w:t>
            </w:r>
          </w:p>
        </w:tc>
        <w:tc>
          <w:tcPr>
            <w:tcW w:w="348" w:type="pct"/>
          </w:tcPr>
          <w:p w14:paraId="6645BA37"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41.1</w:t>
            </w:r>
          </w:p>
        </w:tc>
        <w:tc>
          <w:tcPr>
            <w:tcW w:w="341" w:type="pct"/>
          </w:tcPr>
          <w:p w14:paraId="1C05B1E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-8.3</w:t>
            </w:r>
          </w:p>
        </w:tc>
        <w:tc>
          <w:tcPr>
            <w:tcW w:w="341" w:type="pct"/>
          </w:tcPr>
          <w:p w14:paraId="218720F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78.3</w:t>
            </w:r>
          </w:p>
        </w:tc>
        <w:tc>
          <w:tcPr>
            <w:tcW w:w="340" w:type="pct"/>
          </w:tcPr>
          <w:p w14:paraId="580998F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68.4</w:t>
            </w:r>
          </w:p>
        </w:tc>
      </w:tr>
      <w:tr w:rsidR="002B6908" w:rsidRPr="00025592" w14:paraId="492083C2" w14:textId="77777777" w:rsidTr="00CB68E7">
        <w:trPr>
          <w:jc w:val="center"/>
        </w:trPr>
        <w:tc>
          <w:tcPr>
            <w:tcW w:w="1293" w:type="pct"/>
          </w:tcPr>
          <w:p w14:paraId="67624CFE" w14:textId="77777777" w:rsidR="002B6908" w:rsidRPr="000B0817" w:rsidRDefault="002B6908" w:rsidP="007F3E43">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0B0817">
              <w:rPr>
                <w:rFonts w:hint="eastAsia"/>
                <w:snapToGrid w:val="0"/>
                <w:spacing w:val="-2"/>
                <w:kern w:val="2"/>
                <w:sz w:val="20"/>
              </w:rPr>
              <w:t>機器、設備及知識產權產品</w:t>
            </w:r>
          </w:p>
        </w:tc>
        <w:tc>
          <w:tcPr>
            <w:tcW w:w="472" w:type="pct"/>
          </w:tcPr>
          <w:p w14:paraId="41309E51"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-4.4</w:t>
            </w:r>
          </w:p>
        </w:tc>
        <w:tc>
          <w:tcPr>
            <w:tcW w:w="471" w:type="pct"/>
          </w:tcPr>
          <w:p w14:paraId="01366571" w14:textId="1B69F383" w:rsidR="002B6908" w:rsidRPr="00320E71" w:rsidRDefault="0042539C"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Pr>
                <w:spacing w:val="0"/>
                <w:sz w:val="20"/>
                <w:lang w:eastAsia="zh-HK"/>
              </w:rPr>
              <w:t>24.7</w:t>
            </w:r>
          </w:p>
        </w:tc>
        <w:tc>
          <w:tcPr>
            <w:tcW w:w="347" w:type="pct"/>
          </w:tcPr>
          <w:p w14:paraId="1EDE55A0"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-15.4</w:t>
            </w:r>
          </w:p>
        </w:tc>
        <w:tc>
          <w:tcPr>
            <w:tcW w:w="348" w:type="pct"/>
          </w:tcPr>
          <w:p w14:paraId="5287B018"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-16.3</w:t>
            </w:r>
          </w:p>
        </w:tc>
        <w:tc>
          <w:tcPr>
            <w:tcW w:w="348" w:type="pct"/>
          </w:tcPr>
          <w:p w14:paraId="3A7B6D5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13.8</w:t>
            </w:r>
          </w:p>
        </w:tc>
        <w:tc>
          <w:tcPr>
            <w:tcW w:w="351" w:type="pct"/>
          </w:tcPr>
          <w:p w14:paraId="2C1D571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-4.7</w:t>
            </w:r>
          </w:p>
        </w:tc>
        <w:tc>
          <w:tcPr>
            <w:tcW w:w="348" w:type="pct"/>
          </w:tcPr>
          <w:p w14:paraId="7CA34D6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12.9</w:t>
            </w:r>
          </w:p>
        </w:tc>
        <w:tc>
          <w:tcPr>
            <w:tcW w:w="341" w:type="pct"/>
          </w:tcPr>
          <w:p w14:paraId="1FDD0A7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41.6</w:t>
            </w:r>
          </w:p>
        </w:tc>
        <w:tc>
          <w:tcPr>
            <w:tcW w:w="341" w:type="pct"/>
          </w:tcPr>
          <w:p w14:paraId="7DE6302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15.7</w:t>
            </w:r>
          </w:p>
        </w:tc>
        <w:tc>
          <w:tcPr>
            <w:tcW w:w="340" w:type="pct"/>
          </w:tcPr>
          <w:p w14:paraId="02D1E3E5" w14:textId="011B08DE"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w:t>
            </w:r>
            <w:r w:rsidR="00612B07">
              <w:rPr>
                <w:spacing w:val="0"/>
                <w:sz w:val="20"/>
                <w:lang w:eastAsia="zh-HK"/>
              </w:rPr>
              <w:t>1.2</w:t>
            </w:r>
          </w:p>
        </w:tc>
      </w:tr>
      <w:tr w:rsidR="002B6908" w:rsidRPr="008A1CAF" w14:paraId="414FD91C" w14:textId="77777777" w:rsidTr="00CB68E7">
        <w:trPr>
          <w:jc w:val="center"/>
        </w:trPr>
        <w:tc>
          <w:tcPr>
            <w:tcW w:w="1293" w:type="pct"/>
          </w:tcPr>
          <w:p w14:paraId="7F6B92D3" w14:textId="77777777" w:rsidR="002B6908" w:rsidRPr="000B0817" w:rsidRDefault="002B6908" w:rsidP="007F3E43">
            <w:pPr>
              <w:keepNext/>
              <w:tabs>
                <w:tab w:val="clear" w:pos="936"/>
              </w:tabs>
              <w:snapToGrid w:val="0"/>
              <w:spacing w:afterLines="30" w:after="108" w:line="240" w:lineRule="atLeast"/>
              <w:rPr>
                <w:spacing w:val="-2"/>
                <w:sz w:val="20"/>
                <w:lang w:eastAsia="zh-CN"/>
              </w:rPr>
            </w:pPr>
            <w:r w:rsidRPr="000B0817">
              <w:rPr>
                <w:rFonts w:hint="eastAsia"/>
                <w:spacing w:val="-2"/>
                <w:sz w:val="20"/>
              </w:rPr>
              <w:t>整體貨物出口</w:t>
            </w:r>
            <w:r w:rsidRPr="000B0817">
              <w:rPr>
                <w:spacing w:val="-2"/>
                <w:sz w:val="20"/>
                <w:vertAlign w:val="superscript"/>
              </w:rPr>
              <w:t>&amp;</w:t>
            </w:r>
          </w:p>
        </w:tc>
        <w:tc>
          <w:tcPr>
            <w:tcW w:w="472" w:type="pct"/>
          </w:tcPr>
          <w:p w14:paraId="5CECA854"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5.3</w:t>
            </w:r>
          </w:p>
        </w:tc>
        <w:tc>
          <w:tcPr>
            <w:tcW w:w="471" w:type="pct"/>
          </w:tcPr>
          <w:p w14:paraId="7E028C22"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12.0</w:t>
            </w:r>
          </w:p>
        </w:tc>
        <w:tc>
          <w:tcPr>
            <w:tcW w:w="347" w:type="pct"/>
          </w:tcPr>
          <w:p w14:paraId="42C6EA97"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7.3</w:t>
            </w:r>
          </w:p>
          <w:p w14:paraId="64226E9B"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(2.6)</w:t>
            </w:r>
          </w:p>
        </w:tc>
        <w:tc>
          <w:tcPr>
            <w:tcW w:w="348" w:type="pct"/>
          </w:tcPr>
          <w:p w14:paraId="17FA22A7"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8.0</w:t>
            </w:r>
          </w:p>
          <w:p w14:paraId="72101B2F"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(0.2)</w:t>
            </w:r>
          </w:p>
        </w:tc>
        <w:tc>
          <w:tcPr>
            <w:tcW w:w="348" w:type="pct"/>
          </w:tcPr>
          <w:p w14:paraId="6EEFD4F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4.6</w:t>
            </w:r>
          </w:p>
          <w:p w14:paraId="01C990A7"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(-0.8)</w:t>
            </w:r>
          </w:p>
        </w:tc>
        <w:tc>
          <w:tcPr>
            <w:tcW w:w="351" w:type="pct"/>
          </w:tcPr>
          <w:p w14:paraId="2CBEFB7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1.9</w:t>
            </w:r>
          </w:p>
          <w:p w14:paraId="35C19877"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(0.7)</w:t>
            </w:r>
          </w:p>
        </w:tc>
        <w:tc>
          <w:tcPr>
            <w:tcW w:w="348" w:type="pct"/>
          </w:tcPr>
          <w:p w14:paraId="5F02D95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8.5</w:t>
            </w:r>
          </w:p>
          <w:p w14:paraId="0B5966E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(8</w:t>
            </w:r>
            <w:r w:rsidRPr="00261A00">
              <w:rPr>
                <w:rFonts w:hint="eastAsia"/>
                <w:spacing w:val="0"/>
                <w:sz w:val="20"/>
                <w:lang w:eastAsia="zh-HK"/>
              </w:rPr>
              <w:t>.</w:t>
            </w:r>
            <w:r w:rsidRPr="00261A00">
              <w:rPr>
                <w:spacing w:val="0"/>
                <w:sz w:val="20"/>
                <w:lang w:eastAsia="zh-HK"/>
              </w:rPr>
              <w:t>3)</w:t>
            </w:r>
          </w:p>
        </w:tc>
        <w:tc>
          <w:tcPr>
            <w:tcW w:w="341" w:type="pct"/>
          </w:tcPr>
          <w:p w14:paraId="7FCC920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11.6</w:t>
            </w:r>
          </w:p>
          <w:p w14:paraId="660A79D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(3.0)</w:t>
            </w:r>
          </w:p>
        </w:tc>
        <w:tc>
          <w:tcPr>
            <w:tcW w:w="341" w:type="pct"/>
          </w:tcPr>
          <w:p w14:paraId="3AF13DF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12.0</w:t>
            </w:r>
          </w:p>
          <w:p w14:paraId="53E224A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(0.1)</w:t>
            </w:r>
          </w:p>
        </w:tc>
        <w:tc>
          <w:tcPr>
            <w:tcW w:w="340" w:type="pct"/>
          </w:tcPr>
          <w:p w14:paraId="25A546A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15.5</w:t>
            </w:r>
          </w:p>
          <w:p w14:paraId="5093632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(3.8)</w:t>
            </w:r>
          </w:p>
        </w:tc>
      </w:tr>
      <w:tr w:rsidR="002B6908" w:rsidRPr="008A1CAF" w14:paraId="26386B29" w14:textId="77777777" w:rsidTr="00CB68E7">
        <w:trPr>
          <w:jc w:val="center"/>
        </w:trPr>
        <w:tc>
          <w:tcPr>
            <w:tcW w:w="1293" w:type="pct"/>
          </w:tcPr>
          <w:p w14:paraId="2F48F05F" w14:textId="77777777" w:rsidR="002B6908" w:rsidRPr="000B0817" w:rsidRDefault="002B6908" w:rsidP="007F3E43">
            <w:pPr>
              <w:keepNext/>
              <w:tabs>
                <w:tab w:val="clear" w:pos="936"/>
                <w:tab w:val="clear" w:pos="1560"/>
                <w:tab w:val="clear" w:pos="2184"/>
                <w:tab w:val="clear" w:pos="2808"/>
              </w:tabs>
              <w:snapToGrid w:val="0"/>
              <w:spacing w:afterLines="30" w:after="108" w:line="240" w:lineRule="atLeast"/>
              <w:rPr>
                <w:spacing w:val="-2"/>
                <w:sz w:val="20"/>
              </w:rPr>
            </w:pPr>
            <w:r w:rsidRPr="000B0817">
              <w:rPr>
                <w:rFonts w:hint="eastAsia"/>
                <w:spacing w:val="-2"/>
                <w:sz w:val="20"/>
              </w:rPr>
              <w:t>貨物進口</w:t>
            </w:r>
            <w:r w:rsidRPr="000B0817">
              <w:rPr>
                <w:spacing w:val="-2"/>
                <w:sz w:val="20"/>
                <w:vertAlign w:val="superscript"/>
              </w:rPr>
              <w:t>&amp;</w:t>
            </w:r>
          </w:p>
        </w:tc>
        <w:tc>
          <w:tcPr>
            <w:tcW w:w="472" w:type="pct"/>
          </w:tcPr>
          <w:p w14:paraId="1C3A4741"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3.0</w:t>
            </w:r>
          </w:p>
        </w:tc>
        <w:tc>
          <w:tcPr>
            <w:tcW w:w="471" w:type="pct"/>
          </w:tcPr>
          <w:p w14:paraId="02CC3AD2"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12.6</w:t>
            </w:r>
          </w:p>
        </w:tc>
        <w:tc>
          <w:tcPr>
            <w:tcW w:w="347" w:type="pct"/>
          </w:tcPr>
          <w:p w14:paraId="6FF93239"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3.8</w:t>
            </w:r>
          </w:p>
          <w:p w14:paraId="4608ADCB"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(0.5)</w:t>
            </w:r>
          </w:p>
        </w:tc>
        <w:tc>
          <w:tcPr>
            <w:tcW w:w="348" w:type="pct"/>
          </w:tcPr>
          <w:p w14:paraId="560023AE"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3.9</w:t>
            </w:r>
          </w:p>
          <w:p w14:paraId="5E65A95E"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(-0.3)</w:t>
            </w:r>
          </w:p>
        </w:tc>
        <w:tc>
          <w:tcPr>
            <w:tcW w:w="348" w:type="pct"/>
          </w:tcPr>
          <w:p w14:paraId="7D1F6F3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3.4</w:t>
            </w:r>
          </w:p>
          <w:p w14:paraId="39FA525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(1.7)</w:t>
            </w:r>
          </w:p>
        </w:tc>
        <w:tc>
          <w:tcPr>
            <w:tcW w:w="351" w:type="pct"/>
          </w:tcPr>
          <w:p w14:paraId="5334D64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0.9</w:t>
            </w:r>
          </w:p>
          <w:p w14:paraId="2D0C338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(-0.2)</w:t>
            </w:r>
          </w:p>
        </w:tc>
        <w:tc>
          <w:tcPr>
            <w:tcW w:w="348" w:type="pct"/>
          </w:tcPr>
          <w:p w14:paraId="4820EF6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7.2</w:t>
            </w:r>
          </w:p>
          <w:p w14:paraId="328CE87C"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(6.1)</w:t>
            </w:r>
          </w:p>
        </w:tc>
        <w:tc>
          <w:tcPr>
            <w:tcW w:w="341" w:type="pct"/>
          </w:tcPr>
          <w:p w14:paraId="62BF9B0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12.7</w:t>
            </w:r>
          </w:p>
          <w:p w14:paraId="6BAAA43E"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(4.7)</w:t>
            </w:r>
          </w:p>
        </w:tc>
        <w:tc>
          <w:tcPr>
            <w:tcW w:w="341" w:type="pct"/>
          </w:tcPr>
          <w:p w14:paraId="0C6BDCC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11.7</w:t>
            </w:r>
          </w:p>
          <w:p w14:paraId="21019AA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(1.1)</w:t>
            </w:r>
          </w:p>
        </w:tc>
        <w:tc>
          <w:tcPr>
            <w:tcW w:w="340" w:type="pct"/>
          </w:tcPr>
          <w:p w14:paraId="5597DDA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18.4</w:t>
            </w:r>
          </w:p>
          <w:p w14:paraId="3E1E29D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(5.6)</w:t>
            </w:r>
          </w:p>
        </w:tc>
      </w:tr>
      <w:tr w:rsidR="002B6908" w:rsidRPr="008A1CAF" w14:paraId="752D5F83" w14:textId="77777777" w:rsidTr="00CB68E7">
        <w:trPr>
          <w:jc w:val="center"/>
        </w:trPr>
        <w:tc>
          <w:tcPr>
            <w:tcW w:w="1293" w:type="pct"/>
          </w:tcPr>
          <w:p w14:paraId="5D73CB00" w14:textId="77777777" w:rsidR="002B6908" w:rsidRPr="000B0817" w:rsidRDefault="002B6908" w:rsidP="007F3E43">
            <w:pPr>
              <w:keepNext/>
              <w:tabs>
                <w:tab w:val="clear" w:pos="936"/>
                <w:tab w:val="clear" w:pos="1560"/>
                <w:tab w:val="clear" w:pos="2184"/>
                <w:tab w:val="clear" w:pos="2808"/>
              </w:tabs>
              <w:snapToGrid w:val="0"/>
              <w:spacing w:afterLines="30" w:after="108" w:line="240" w:lineRule="atLeast"/>
              <w:rPr>
                <w:spacing w:val="-2"/>
                <w:sz w:val="20"/>
              </w:rPr>
            </w:pPr>
            <w:r w:rsidRPr="000B0817">
              <w:rPr>
                <w:rFonts w:hint="eastAsia"/>
                <w:spacing w:val="-2"/>
                <w:sz w:val="20"/>
              </w:rPr>
              <w:t>服務輸出</w:t>
            </w:r>
            <w:r w:rsidRPr="000B0817">
              <w:rPr>
                <w:spacing w:val="-2"/>
                <w:sz w:val="20"/>
                <w:vertAlign w:val="superscript"/>
              </w:rPr>
              <w:t>&amp;</w:t>
            </w:r>
          </w:p>
        </w:tc>
        <w:tc>
          <w:tcPr>
            <w:tcW w:w="472" w:type="pct"/>
          </w:tcPr>
          <w:p w14:paraId="3E3FA74D"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4.1</w:t>
            </w:r>
          </w:p>
        </w:tc>
        <w:tc>
          <w:tcPr>
            <w:tcW w:w="471" w:type="pct"/>
          </w:tcPr>
          <w:p w14:paraId="2B0208D2"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6.3</w:t>
            </w:r>
          </w:p>
        </w:tc>
        <w:tc>
          <w:tcPr>
            <w:tcW w:w="347" w:type="pct"/>
          </w:tcPr>
          <w:p w14:paraId="08191D96"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ind w:leftChars="-62" w:left="-186" w:firstLineChars="93" w:firstLine="186"/>
              <w:jc w:val="center"/>
              <w:rPr>
                <w:spacing w:val="0"/>
                <w:sz w:val="20"/>
                <w:lang w:eastAsia="zh-HK"/>
              </w:rPr>
            </w:pPr>
            <w:r w:rsidRPr="00320E71">
              <w:rPr>
                <w:spacing w:val="0"/>
                <w:sz w:val="20"/>
                <w:lang w:eastAsia="zh-HK"/>
              </w:rPr>
              <w:t>9.3</w:t>
            </w:r>
          </w:p>
          <w:p w14:paraId="4690A6EF"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ind w:leftChars="-62" w:left="-186" w:firstLineChars="93" w:firstLine="186"/>
              <w:jc w:val="center"/>
              <w:rPr>
                <w:spacing w:val="0"/>
                <w:sz w:val="20"/>
                <w:lang w:eastAsia="zh-HK"/>
              </w:rPr>
            </w:pPr>
            <w:r w:rsidRPr="00320E71">
              <w:rPr>
                <w:spacing w:val="0"/>
                <w:sz w:val="20"/>
                <w:lang w:eastAsia="zh-HK"/>
              </w:rPr>
              <w:t>(-0.3)</w:t>
            </w:r>
          </w:p>
        </w:tc>
        <w:tc>
          <w:tcPr>
            <w:tcW w:w="348" w:type="pct"/>
          </w:tcPr>
          <w:p w14:paraId="3660F571"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0.2</w:t>
            </w:r>
          </w:p>
          <w:p w14:paraId="40B4C8FE"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(-1.3)</w:t>
            </w:r>
          </w:p>
        </w:tc>
        <w:tc>
          <w:tcPr>
            <w:tcW w:w="348" w:type="pct"/>
          </w:tcPr>
          <w:p w14:paraId="728F830D"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1.6</w:t>
            </w:r>
          </w:p>
          <w:p w14:paraId="06A36E3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(2.7)</w:t>
            </w:r>
          </w:p>
        </w:tc>
        <w:tc>
          <w:tcPr>
            <w:tcW w:w="351" w:type="pct"/>
          </w:tcPr>
          <w:p w14:paraId="46C78AB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5.2</w:t>
            </w:r>
          </w:p>
          <w:p w14:paraId="7020A547"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(3.9)</w:t>
            </w:r>
          </w:p>
        </w:tc>
        <w:tc>
          <w:tcPr>
            <w:tcW w:w="348" w:type="pct"/>
          </w:tcPr>
          <w:p w14:paraId="2F71941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5.9</w:t>
            </w:r>
          </w:p>
          <w:p w14:paraId="334B4DF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(0.5)</w:t>
            </w:r>
          </w:p>
        </w:tc>
        <w:tc>
          <w:tcPr>
            <w:tcW w:w="341" w:type="pct"/>
          </w:tcPr>
          <w:p w14:paraId="6AF9B54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8.2</w:t>
            </w:r>
          </w:p>
          <w:p w14:paraId="08AC040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(1.1)</w:t>
            </w:r>
          </w:p>
        </w:tc>
        <w:tc>
          <w:tcPr>
            <w:tcW w:w="341" w:type="pct"/>
          </w:tcPr>
          <w:p w14:paraId="4A23C3B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6.6</w:t>
            </w:r>
          </w:p>
          <w:p w14:paraId="5918BD7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(1.1)</w:t>
            </w:r>
          </w:p>
        </w:tc>
        <w:tc>
          <w:tcPr>
            <w:tcW w:w="340" w:type="pct"/>
          </w:tcPr>
          <w:p w14:paraId="25287018" w14:textId="19F7EED1"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w:t>
            </w:r>
            <w:r w:rsidR="00612B07">
              <w:rPr>
                <w:spacing w:val="0"/>
                <w:sz w:val="20"/>
                <w:lang w:eastAsia="zh-HK"/>
              </w:rPr>
              <w:t>8</w:t>
            </w:r>
          </w:p>
          <w:p w14:paraId="1B610C9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(1.8)</w:t>
            </w:r>
          </w:p>
        </w:tc>
      </w:tr>
      <w:tr w:rsidR="002B6908" w:rsidRPr="008A1CAF" w14:paraId="2F55371D" w14:textId="77777777" w:rsidTr="00CB68E7">
        <w:trPr>
          <w:jc w:val="center"/>
        </w:trPr>
        <w:tc>
          <w:tcPr>
            <w:tcW w:w="1293" w:type="pct"/>
          </w:tcPr>
          <w:p w14:paraId="68B6102F" w14:textId="77777777" w:rsidR="002B6908" w:rsidRPr="000B0817" w:rsidRDefault="002B6908" w:rsidP="007F3E43">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2"/>
                <w:kern w:val="2"/>
                <w:sz w:val="20"/>
              </w:rPr>
            </w:pPr>
            <w:r w:rsidRPr="000B0817">
              <w:rPr>
                <w:rFonts w:hint="eastAsia"/>
                <w:snapToGrid w:val="0"/>
                <w:spacing w:val="-2"/>
                <w:kern w:val="2"/>
                <w:sz w:val="20"/>
              </w:rPr>
              <w:t>服務輸入</w:t>
            </w:r>
            <w:r w:rsidRPr="000B0817">
              <w:rPr>
                <w:spacing w:val="-2"/>
                <w:sz w:val="20"/>
                <w:vertAlign w:val="superscript"/>
              </w:rPr>
              <w:t>&amp;</w:t>
            </w:r>
          </w:p>
        </w:tc>
        <w:tc>
          <w:tcPr>
            <w:tcW w:w="472" w:type="pct"/>
          </w:tcPr>
          <w:p w14:paraId="2B97D4FC"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11.3</w:t>
            </w:r>
          </w:p>
        </w:tc>
        <w:tc>
          <w:tcPr>
            <w:tcW w:w="471" w:type="pct"/>
          </w:tcPr>
          <w:p w14:paraId="7AD28F53" w14:textId="51E2BD3B"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320E71">
              <w:rPr>
                <w:spacing w:val="0"/>
                <w:sz w:val="20"/>
                <w:lang w:eastAsia="zh-HK"/>
              </w:rPr>
              <w:t>4.</w:t>
            </w:r>
            <w:r w:rsidR="0042539C">
              <w:rPr>
                <w:spacing w:val="0"/>
                <w:sz w:val="20"/>
                <w:lang w:eastAsia="zh-HK"/>
              </w:rPr>
              <w:t>3</w:t>
            </w:r>
          </w:p>
        </w:tc>
        <w:tc>
          <w:tcPr>
            <w:tcW w:w="347" w:type="pct"/>
          </w:tcPr>
          <w:p w14:paraId="7AD163CD"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17.7</w:t>
            </w:r>
          </w:p>
          <w:p w14:paraId="4DEEAB07"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w:t>
            </w:r>
            <w:r w:rsidRPr="00320E71">
              <w:rPr>
                <w:rFonts w:hint="eastAsia"/>
                <w:spacing w:val="0"/>
                <w:sz w:val="20"/>
                <w:lang w:eastAsia="zh-HK"/>
              </w:rPr>
              <w:t>3.</w:t>
            </w:r>
            <w:r w:rsidRPr="00320E71">
              <w:rPr>
                <w:spacing w:val="0"/>
                <w:sz w:val="20"/>
                <w:lang w:eastAsia="zh-HK"/>
              </w:rPr>
              <w:t>5)</w:t>
            </w:r>
          </w:p>
        </w:tc>
        <w:tc>
          <w:tcPr>
            <w:tcW w:w="348" w:type="pct"/>
          </w:tcPr>
          <w:p w14:paraId="5824199D"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11.6</w:t>
            </w:r>
          </w:p>
          <w:p w14:paraId="7BF76F5A" w14:textId="5D63A5E3"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320E71">
              <w:rPr>
                <w:spacing w:val="0"/>
                <w:sz w:val="20"/>
                <w:lang w:eastAsia="zh-HK"/>
              </w:rPr>
              <w:t>(0.</w:t>
            </w:r>
            <w:r w:rsidR="0042539C">
              <w:rPr>
                <w:spacing w:val="0"/>
                <w:sz w:val="20"/>
                <w:lang w:eastAsia="zh-HK"/>
              </w:rPr>
              <w:t>6</w:t>
            </w:r>
            <w:r w:rsidRPr="00320E71">
              <w:rPr>
                <w:spacing w:val="0"/>
                <w:sz w:val="20"/>
                <w:lang w:eastAsia="zh-HK"/>
              </w:rPr>
              <w:t>)</w:t>
            </w:r>
          </w:p>
        </w:tc>
        <w:tc>
          <w:tcPr>
            <w:tcW w:w="348" w:type="pct"/>
          </w:tcPr>
          <w:p w14:paraId="5E77CF4C"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9.0</w:t>
            </w:r>
          </w:p>
          <w:p w14:paraId="35587D56" w14:textId="6521889E"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w:t>
            </w:r>
            <w:r w:rsidR="00612B07">
              <w:rPr>
                <w:spacing w:val="0"/>
                <w:sz w:val="20"/>
                <w:lang w:eastAsia="zh-HK"/>
              </w:rPr>
              <w:t>8</w:t>
            </w:r>
            <w:r w:rsidRPr="00261A00">
              <w:rPr>
                <w:spacing w:val="0"/>
                <w:sz w:val="20"/>
                <w:lang w:eastAsia="zh-HK"/>
              </w:rPr>
              <w:t>)</w:t>
            </w:r>
          </w:p>
        </w:tc>
        <w:tc>
          <w:tcPr>
            <w:tcW w:w="351" w:type="pct"/>
          </w:tcPr>
          <w:p w14:paraId="1ECD273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7.5</w:t>
            </w:r>
          </w:p>
          <w:p w14:paraId="3F65E35C" w14:textId="075CA39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w:t>
            </w:r>
            <w:r w:rsidR="00612B07">
              <w:rPr>
                <w:spacing w:val="0"/>
                <w:sz w:val="20"/>
                <w:lang w:eastAsia="zh-HK"/>
              </w:rPr>
              <w:t>3</w:t>
            </w:r>
            <w:r w:rsidRPr="00261A00">
              <w:rPr>
                <w:spacing w:val="0"/>
                <w:sz w:val="20"/>
                <w:lang w:eastAsia="zh-HK"/>
              </w:rPr>
              <w:t>)</w:t>
            </w:r>
          </w:p>
        </w:tc>
        <w:tc>
          <w:tcPr>
            <w:tcW w:w="348" w:type="pct"/>
          </w:tcPr>
          <w:p w14:paraId="42D028B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4.8</w:t>
            </w:r>
          </w:p>
          <w:p w14:paraId="46B7150D" w14:textId="7EC4CA2F"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(0.</w:t>
            </w:r>
            <w:r w:rsidR="00612B07">
              <w:rPr>
                <w:spacing w:val="0"/>
                <w:sz w:val="20"/>
                <w:lang w:eastAsia="zh-HK"/>
              </w:rPr>
              <w:t>8</w:t>
            </w:r>
            <w:r w:rsidRPr="00261A00">
              <w:rPr>
                <w:spacing w:val="0"/>
                <w:sz w:val="20"/>
                <w:lang w:eastAsia="zh-HK"/>
              </w:rPr>
              <w:t>)</w:t>
            </w:r>
          </w:p>
        </w:tc>
        <w:tc>
          <w:tcPr>
            <w:tcW w:w="341" w:type="pct"/>
          </w:tcPr>
          <w:p w14:paraId="78AF776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6.6</w:t>
            </w:r>
          </w:p>
          <w:p w14:paraId="7E838E0A" w14:textId="73C5819B"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w:t>
            </w:r>
            <w:r w:rsidR="00612B07">
              <w:rPr>
                <w:spacing w:val="0"/>
                <w:sz w:val="20"/>
                <w:lang w:eastAsia="zh-HK"/>
              </w:rPr>
              <w:t>4</w:t>
            </w:r>
            <w:r w:rsidRPr="00261A00">
              <w:rPr>
                <w:spacing w:val="0"/>
                <w:sz w:val="20"/>
                <w:lang w:eastAsia="zh-HK"/>
              </w:rPr>
              <w:t>)</w:t>
            </w:r>
          </w:p>
        </w:tc>
        <w:tc>
          <w:tcPr>
            <w:tcW w:w="341" w:type="pct"/>
          </w:tcPr>
          <w:p w14:paraId="17ED12B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2.3</w:t>
            </w:r>
          </w:p>
          <w:p w14:paraId="7CF2C9E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(-1.8)</w:t>
            </w:r>
          </w:p>
        </w:tc>
        <w:tc>
          <w:tcPr>
            <w:tcW w:w="340" w:type="pct"/>
          </w:tcPr>
          <w:p w14:paraId="0939305D" w14:textId="04B1C11A"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3.</w:t>
            </w:r>
            <w:r w:rsidR="00612B07">
              <w:rPr>
                <w:spacing w:val="0"/>
                <w:sz w:val="20"/>
                <w:lang w:eastAsia="zh-HK"/>
              </w:rPr>
              <w:t>7</w:t>
            </w:r>
          </w:p>
          <w:p w14:paraId="72011A27" w14:textId="4EB5A8D9"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r w:rsidRPr="00261A00">
              <w:rPr>
                <w:spacing w:val="0"/>
                <w:sz w:val="20"/>
                <w:lang w:eastAsia="zh-HK"/>
              </w:rPr>
              <w:t>(2.</w:t>
            </w:r>
            <w:r w:rsidR="00612B07">
              <w:rPr>
                <w:spacing w:val="0"/>
                <w:sz w:val="20"/>
                <w:lang w:eastAsia="zh-HK"/>
              </w:rPr>
              <w:t>5</w:t>
            </w:r>
            <w:r w:rsidRPr="00261A00">
              <w:rPr>
                <w:spacing w:val="0"/>
                <w:sz w:val="20"/>
                <w:lang w:eastAsia="zh-HK"/>
              </w:rPr>
              <w:t>)</w:t>
            </w:r>
          </w:p>
        </w:tc>
      </w:tr>
      <w:tr w:rsidR="002B6908" w:rsidRPr="008A1CAF" w14:paraId="3B395A20" w14:textId="77777777" w:rsidTr="00CB68E7">
        <w:trPr>
          <w:jc w:val="center"/>
        </w:trPr>
        <w:tc>
          <w:tcPr>
            <w:tcW w:w="1293" w:type="pct"/>
          </w:tcPr>
          <w:p w14:paraId="73303191" w14:textId="77777777" w:rsidR="002B6908" w:rsidRPr="000B0817" w:rsidRDefault="002B6908" w:rsidP="007F3E43">
            <w:pPr>
              <w:keepNext/>
              <w:tabs>
                <w:tab w:val="clear" w:pos="936"/>
                <w:tab w:val="decimal" w:pos="318"/>
              </w:tabs>
              <w:snapToGrid w:val="0"/>
              <w:spacing w:afterLines="30" w:after="108" w:line="240" w:lineRule="atLeast"/>
              <w:rPr>
                <w:rFonts w:eastAsia="華康中黑體"/>
                <w:spacing w:val="-2"/>
                <w:sz w:val="20"/>
              </w:rPr>
            </w:pPr>
            <w:r w:rsidRPr="000B0817">
              <w:rPr>
                <w:rFonts w:eastAsia="華康中黑體" w:hint="eastAsia"/>
                <w:spacing w:val="-2"/>
                <w:sz w:val="20"/>
              </w:rPr>
              <w:t>本地生產總值</w:t>
            </w:r>
          </w:p>
        </w:tc>
        <w:tc>
          <w:tcPr>
            <w:tcW w:w="472" w:type="pct"/>
          </w:tcPr>
          <w:p w14:paraId="1AEA864F"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lang w:eastAsia="zh-HK"/>
              </w:rPr>
              <w:t>2.6</w:t>
            </w:r>
          </w:p>
        </w:tc>
        <w:tc>
          <w:tcPr>
            <w:tcW w:w="471" w:type="pct"/>
          </w:tcPr>
          <w:p w14:paraId="322F3747"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lang w:eastAsia="zh-HK"/>
              </w:rPr>
              <w:t>3.5</w:t>
            </w:r>
          </w:p>
        </w:tc>
        <w:tc>
          <w:tcPr>
            <w:tcW w:w="347" w:type="pct"/>
          </w:tcPr>
          <w:p w14:paraId="58686992"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2.9</w:t>
            </w:r>
          </w:p>
          <w:p w14:paraId="38A6EA85"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(0.6)</w:t>
            </w:r>
          </w:p>
        </w:tc>
        <w:tc>
          <w:tcPr>
            <w:tcW w:w="348" w:type="pct"/>
          </w:tcPr>
          <w:p w14:paraId="767FBA0B"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3.0</w:t>
            </w:r>
          </w:p>
          <w:p w14:paraId="1D112E03"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(0.6)</w:t>
            </w:r>
          </w:p>
        </w:tc>
        <w:tc>
          <w:tcPr>
            <w:tcW w:w="348" w:type="pct"/>
          </w:tcPr>
          <w:p w14:paraId="371EDFDD"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2.1</w:t>
            </w:r>
          </w:p>
          <w:p w14:paraId="367EF2A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(0.4)</w:t>
            </w:r>
          </w:p>
        </w:tc>
        <w:tc>
          <w:tcPr>
            <w:tcW w:w="351" w:type="pct"/>
          </w:tcPr>
          <w:p w14:paraId="3F2FFAE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2.5</w:t>
            </w:r>
          </w:p>
          <w:p w14:paraId="2EB99B5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(1.0)</w:t>
            </w:r>
          </w:p>
        </w:tc>
        <w:tc>
          <w:tcPr>
            <w:tcW w:w="348" w:type="pct"/>
          </w:tcPr>
          <w:p w14:paraId="2189BC5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3.1</w:t>
            </w:r>
          </w:p>
          <w:p w14:paraId="3C0A232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(1.1)</w:t>
            </w:r>
          </w:p>
        </w:tc>
        <w:tc>
          <w:tcPr>
            <w:tcW w:w="341" w:type="pct"/>
          </w:tcPr>
          <w:p w14:paraId="6BF2693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3.2</w:t>
            </w:r>
          </w:p>
          <w:p w14:paraId="4DBABCE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(0.8)</w:t>
            </w:r>
          </w:p>
        </w:tc>
        <w:tc>
          <w:tcPr>
            <w:tcW w:w="341" w:type="pct"/>
          </w:tcPr>
          <w:p w14:paraId="0FEE52B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3.7</w:t>
            </w:r>
          </w:p>
          <w:p w14:paraId="44E8446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(0.9)</w:t>
            </w:r>
          </w:p>
        </w:tc>
        <w:tc>
          <w:tcPr>
            <w:tcW w:w="340" w:type="pct"/>
          </w:tcPr>
          <w:p w14:paraId="1D94B19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3.8</w:t>
            </w:r>
          </w:p>
          <w:p w14:paraId="6C6D614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(1.0)</w:t>
            </w:r>
          </w:p>
        </w:tc>
      </w:tr>
      <w:tr w:rsidR="002B6908" w:rsidRPr="00025592" w14:paraId="05E80546" w14:textId="77777777" w:rsidTr="00CB68E7">
        <w:trPr>
          <w:trHeight w:val="437"/>
          <w:jc w:val="center"/>
        </w:trPr>
        <w:tc>
          <w:tcPr>
            <w:tcW w:w="1293" w:type="pct"/>
          </w:tcPr>
          <w:p w14:paraId="2243512C" w14:textId="77777777" w:rsidR="002B6908" w:rsidRPr="000B0817" w:rsidRDefault="002B6908" w:rsidP="007F3E43">
            <w:pPr>
              <w:keepNext/>
              <w:widowControl w:val="0"/>
              <w:tabs>
                <w:tab w:val="clear" w:pos="936"/>
                <w:tab w:val="clear" w:pos="1560"/>
                <w:tab w:val="clear" w:pos="2184"/>
                <w:tab w:val="clear" w:pos="2808"/>
                <w:tab w:val="left" w:pos="1080"/>
              </w:tabs>
              <w:overflowPunct/>
              <w:adjustRightInd/>
              <w:spacing w:after="0" w:line="240" w:lineRule="exact"/>
              <w:ind w:right="-113"/>
              <w:textAlignment w:val="auto"/>
              <w:rPr>
                <w:i/>
                <w:spacing w:val="-2"/>
                <w:sz w:val="20"/>
              </w:rPr>
            </w:pPr>
            <w:r w:rsidRPr="000B0817">
              <w:rPr>
                <w:rFonts w:hint="eastAsia"/>
                <w:i/>
                <w:spacing w:val="-2"/>
                <w:sz w:val="20"/>
                <w:u w:val="single"/>
              </w:rPr>
              <w:t>主要價格指標的增減百分率</w:t>
            </w:r>
          </w:p>
        </w:tc>
        <w:tc>
          <w:tcPr>
            <w:tcW w:w="472" w:type="pct"/>
          </w:tcPr>
          <w:p w14:paraId="0B8DCCC5"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p>
        </w:tc>
        <w:tc>
          <w:tcPr>
            <w:tcW w:w="471" w:type="pct"/>
          </w:tcPr>
          <w:p w14:paraId="59F5557E"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p>
        </w:tc>
        <w:tc>
          <w:tcPr>
            <w:tcW w:w="347" w:type="pct"/>
          </w:tcPr>
          <w:p w14:paraId="33DD97E5"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p>
        </w:tc>
        <w:tc>
          <w:tcPr>
            <w:tcW w:w="348" w:type="pct"/>
          </w:tcPr>
          <w:p w14:paraId="5718ECDA"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8" w:type="pct"/>
          </w:tcPr>
          <w:p w14:paraId="72435E07"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51" w:type="pct"/>
          </w:tcPr>
          <w:p w14:paraId="1D7B35E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8" w:type="pct"/>
          </w:tcPr>
          <w:p w14:paraId="1ACF55B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1" w:type="pct"/>
          </w:tcPr>
          <w:p w14:paraId="1F17A71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1" w:type="pct"/>
          </w:tcPr>
          <w:p w14:paraId="697303BC"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0" w:type="pct"/>
          </w:tcPr>
          <w:p w14:paraId="7C633B5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r>
      <w:tr w:rsidR="002B6908" w:rsidRPr="00025592" w14:paraId="18115FD2" w14:textId="77777777" w:rsidTr="00CB68E7">
        <w:trPr>
          <w:jc w:val="center"/>
        </w:trPr>
        <w:tc>
          <w:tcPr>
            <w:tcW w:w="1293" w:type="pct"/>
          </w:tcPr>
          <w:p w14:paraId="311EF65E" w14:textId="77777777" w:rsidR="002B6908" w:rsidRPr="000B0817" w:rsidRDefault="002B6908" w:rsidP="007F3E43">
            <w:pPr>
              <w:keepNext/>
              <w:tabs>
                <w:tab w:val="clear" w:pos="936"/>
              </w:tabs>
              <w:snapToGrid w:val="0"/>
              <w:spacing w:afterLines="30" w:after="108" w:line="240" w:lineRule="atLeast"/>
              <w:rPr>
                <w:rFonts w:eastAsia="華康中黑體"/>
                <w:spacing w:val="-2"/>
                <w:sz w:val="20"/>
              </w:rPr>
            </w:pPr>
            <w:r w:rsidRPr="000B0817">
              <w:rPr>
                <w:rFonts w:eastAsia="華康中黑體" w:hint="eastAsia"/>
                <w:spacing w:val="-2"/>
                <w:sz w:val="20"/>
              </w:rPr>
              <w:t>本地生產總值平減物價指數</w:t>
            </w:r>
          </w:p>
        </w:tc>
        <w:tc>
          <w:tcPr>
            <w:tcW w:w="472" w:type="pct"/>
          </w:tcPr>
          <w:p w14:paraId="0BDE46DF"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rPr>
              <w:t>4.2</w:t>
            </w:r>
          </w:p>
        </w:tc>
        <w:tc>
          <w:tcPr>
            <w:tcW w:w="471" w:type="pct"/>
          </w:tcPr>
          <w:p w14:paraId="6951A0DE"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rPr>
              <w:t>1.0</w:t>
            </w:r>
          </w:p>
        </w:tc>
        <w:tc>
          <w:tcPr>
            <w:tcW w:w="347" w:type="pct"/>
          </w:tcPr>
          <w:p w14:paraId="7B9545E7"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3.9</w:t>
            </w:r>
          </w:p>
          <w:p w14:paraId="28A7A648"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(1.3)</w:t>
            </w:r>
          </w:p>
        </w:tc>
        <w:tc>
          <w:tcPr>
            <w:tcW w:w="348" w:type="pct"/>
          </w:tcPr>
          <w:p w14:paraId="42A2D945"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4.8</w:t>
            </w:r>
          </w:p>
          <w:p w14:paraId="7C75FFFC"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(1.3)</w:t>
            </w:r>
          </w:p>
        </w:tc>
        <w:tc>
          <w:tcPr>
            <w:tcW w:w="348" w:type="pct"/>
          </w:tcPr>
          <w:p w14:paraId="55EA512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4.9</w:t>
            </w:r>
          </w:p>
          <w:p w14:paraId="1938CAB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(0.6)</w:t>
            </w:r>
          </w:p>
        </w:tc>
        <w:tc>
          <w:tcPr>
            <w:tcW w:w="351" w:type="pct"/>
          </w:tcPr>
          <w:p w14:paraId="32C6B8FC"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3.1</w:t>
            </w:r>
          </w:p>
          <w:p w14:paraId="0CB36CD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 xml:space="preserve"> (</w:t>
            </w:r>
            <w:r w:rsidRPr="00261A00">
              <w:rPr>
                <w:rFonts w:hint="eastAsia"/>
                <w:b/>
                <w:spacing w:val="0"/>
                <w:sz w:val="20"/>
                <w:lang w:eastAsia="zh-HK"/>
              </w:rPr>
              <w:t>-0.2</w:t>
            </w:r>
            <w:r w:rsidRPr="00261A00">
              <w:rPr>
                <w:b/>
                <w:spacing w:val="0"/>
                <w:sz w:val="20"/>
                <w:lang w:eastAsia="zh-HK"/>
              </w:rPr>
              <w:t>)</w:t>
            </w:r>
          </w:p>
        </w:tc>
        <w:tc>
          <w:tcPr>
            <w:tcW w:w="348" w:type="pct"/>
          </w:tcPr>
          <w:p w14:paraId="5A63776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1.3</w:t>
            </w:r>
          </w:p>
          <w:p w14:paraId="34E7A71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 xml:space="preserve"> (</w:t>
            </w:r>
            <w:r w:rsidRPr="00261A00">
              <w:rPr>
                <w:rFonts w:hint="eastAsia"/>
                <w:b/>
                <w:spacing w:val="0"/>
                <w:sz w:val="20"/>
                <w:lang w:eastAsia="zh-HK"/>
              </w:rPr>
              <w:t>-0.</w:t>
            </w:r>
            <w:r w:rsidRPr="00261A00">
              <w:rPr>
                <w:b/>
                <w:spacing w:val="0"/>
                <w:sz w:val="20"/>
                <w:lang w:eastAsia="zh-HK"/>
              </w:rPr>
              <w:t>3)</w:t>
            </w:r>
          </w:p>
        </w:tc>
        <w:tc>
          <w:tcPr>
            <w:tcW w:w="341" w:type="pct"/>
          </w:tcPr>
          <w:p w14:paraId="3601276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0.7</w:t>
            </w:r>
          </w:p>
          <w:p w14:paraId="6552117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(0.5)</w:t>
            </w:r>
          </w:p>
        </w:tc>
        <w:tc>
          <w:tcPr>
            <w:tcW w:w="341" w:type="pct"/>
          </w:tcPr>
          <w:p w14:paraId="18748A53"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0.8</w:t>
            </w:r>
          </w:p>
          <w:p w14:paraId="49EB5D4E" w14:textId="19A7C3C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w:t>
            </w:r>
            <w:r w:rsidR="00F318AF">
              <w:rPr>
                <w:b/>
                <w:spacing w:val="0"/>
                <w:sz w:val="20"/>
                <w:lang w:eastAsia="zh-HK"/>
              </w:rPr>
              <w:t>6</w:t>
            </w:r>
            <w:r w:rsidRPr="00261A00">
              <w:rPr>
                <w:b/>
                <w:spacing w:val="0"/>
                <w:sz w:val="20"/>
                <w:lang w:eastAsia="zh-HK"/>
              </w:rPr>
              <w:t>)</w:t>
            </w:r>
          </w:p>
        </w:tc>
        <w:tc>
          <w:tcPr>
            <w:tcW w:w="340" w:type="pct"/>
          </w:tcPr>
          <w:p w14:paraId="65675A4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1.3</w:t>
            </w:r>
          </w:p>
          <w:p w14:paraId="48FFCABC"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(0.4)</w:t>
            </w:r>
          </w:p>
        </w:tc>
      </w:tr>
      <w:tr w:rsidR="002B6908" w:rsidRPr="00025592" w14:paraId="263DFA01" w14:textId="77777777" w:rsidTr="00CB68E7">
        <w:trPr>
          <w:trHeight w:val="437"/>
          <w:jc w:val="center"/>
        </w:trPr>
        <w:tc>
          <w:tcPr>
            <w:tcW w:w="1293" w:type="pct"/>
          </w:tcPr>
          <w:p w14:paraId="6D95C6BD" w14:textId="77777777" w:rsidR="002B6908" w:rsidRPr="000B0817" w:rsidRDefault="002B6908" w:rsidP="007F3E43">
            <w:pPr>
              <w:keepNext/>
              <w:widowControl w:val="0"/>
              <w:tabs>
                <w:tab w:val="clear" w:pos="936"/>
                <w:tab w:val="clear" w:pos="1560"/>
                <w:tab w:val="clear" w:pos="2184"/>
                <w:tab w:val="clear" w:pos="2808"/>
                <w:tab w:val="left" w:pos="1080"/>
              </w:tabs>
              <w:overflowPunct/>
              <w:adjustRightInd/>
              <w:snapToGrid w:val="0"/>
              <w:spacing w:after="0" w:line="240" w:lineRule="exact"/>
              <w:ind w:right="-108"/>
              <w:textAlignment w:val="auto"/>
              <w:rPr>
                <w:rFonts w:eastAsia="華康中黑體"/>
                <w:spacing w:val="-2"/>
                <w:sz w:val="20"/>
              </w:rPr>
            </w:pPr>
            <w:r w:rsidRPr="000B0817">
              <w:rPr>
                <w:rFonts w:eastAsia="華康中黑體" w:hint="eastAsia"/>
                <w:spacing w:val="-2"/>
                <w:sz w:val="20"/>
              </w:rPr>
              <w:t>綜合消費物價指數</w:t>
            </w:r>
          </w:p>
        </w:tc>
        <w:tc>
          <w:tcPr>
            <w:tcW w:w="472" w:type="pct"/>
          </w:tcPr>
          <w:p w14:paraId="25F63D7E"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p>
        </w:tc>
        <w:tc>
          <w:tcPr>
            <w:tcW w:w="471" w:type="pct"/>
          </w:tcPr>
          <w:p w14:paraId="72A1D5EC"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p>
        </w:tc>
        <w:tc>
          <w:tcPr>
            <w:tcW w:w="347" w:type="pct"/>
          </w:tcPr>
          <w:p w14:paraId="4598C60E"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spacing w:val="0"/>
                <w:sz w:val="20"/>
                <w:lang w:eastAsia="zh-HK"/>
              </w:rPr>
            </w:pPr>
          </w:p>
        </w:tc>
        <w:tc>
          <w:tcPr>
            <w:tcW w:w="348" w:type="pct"/>
          </w:tcPr>
          <w:p w14:paraId="10F2E2BA"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8" w:type="pct"/>
          </w:tcPr>
          <w:p w14:paraId="50F0B2A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51" w:type="pct"/>
          </w:tcPr>
          <w:p w14:paraId="3D030D5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8" w:type="pct"/>
          </w:tcPr>
          <w:p w14:paraId="39234D1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1" w:type="pct"/>
          </w:tcPr>
          <w:p w14:paraId="1A517C0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1" w:type="pct"/>
          </w:tcPr>
          <w:p w14:paraId="4310822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c>
          <w:tcPr>
            <w:tcW w:w="340" w:type="pct"/>
          </w:tcPr>
          <w:p w14:paraId="6B5E931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p>
        </w:tc>
      </w:tr>
      <w:tr w:rsidR="002B6908" w:rsidRPr="00025592" w14:paraId="04AEC4A4" w14:textId="77777777" w:rsidTr="00CB68E7">
        <w:trPr>
          <w:jc w:val="center"/>
        </w:trPr>
        <w:tc>
          <w:tcPr>
            <w:tcW w:w="1293" w:type="pct"/>
          </w:tcPr>
          <w:p w14:paraId="32ACBCA0" w14:textId="77777777" w:rsidR="002B6908" w:rsidRPr="000B0817" w:rsidRDefault="002B6908" w:rsidP="007F3E43">
            <w:pPr>
              <w:keepNext/>
              <w:tabs>
                <w:tab w:val="clear" w:pos="936"/>
                <w:tab w:val="clear" w:pos="1560"/>
                <w:tab w:val="clear" w:pos="2184"/>
                <w:tab w:val="clear" w:pos="2808"/>
              </w:tabs>
              <w:snapToGrid w:val="0"/>
              <w:spacing w:afterLines="30" w:after="108" w:line="240" w:lineRule="atLeast"/>
              <w:ind w:firstLineChars="100" w:firstLine="196"/>
              <w:rPr>
                <w:rFonts w:eastAsia="華康中黑體"/>
                <w:spacing w:val="-2"/>
                <w:sz w:val="20"/>
              </w:rPr>
            </w:pPr>
            <w:r w:rsidRPr="000B0817">
              <w:rPr>
                <w:rFonts w:eastAsia="華康中黑體" w:hint="eastAsia"/>
                <w:spacing w:val="-2"/>
                <w:sz w:val="20"/>
              </w:rPr>
              <w:t>整體消費物價指數</w:t>
            </w:r>
          </w:p>
        </w:tc>
        <w:tc>
          <w:tcPr>
            <w:tcW w:w="472" w:type="pct"/>
          </w:tcPr>
          <w:p w14:paraId="27CD0BCF"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lang w:eastAsia="zh-HK"/>
              </w:rPr>
              <w:t>1.7</w:t>
            </w:r>
          </w:p>
        </w:tc>
        <w:tc>
          <w:tcPr>
            <w:tcW w:w="471" w:type="pct"/>
          </w:tcPr>
          <w:p w14:paraId="004ADB32"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lang w:eastAsia="zh-HK"/>
              </w:rPr>
              <w:t>1.4</w:t>
            </w:r>
          </w:p>
        </w:tc>
        <w:tc>
          <w:tcPr>
            <w:tcW w:w="347" w:type="pct"/>
          </w:tcPr>
          <w:p w14:paraId="52C7BC38"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1.9</w:t>
            </w:r>
          </w:p>
          <w:p w14:paraId="538C8CE1"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(0.1)</w:t>
            </w:r>
          </w:p>
        </w:tc>
        <w:tc>
          <w:tcPr>
            <w:tcW w:w="348" w:type="pct"/>
          </w:tcPr>
          <w:p w14:paraId="5205887A"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1.2</w:t>
            </w:r>
          </w:p>
          <w:p w14:paraId="39518A03"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(-0.4)</w:t>
            </w:r>
          </w:p>
        </w:tc>
        <w:tc>
          <w:tcPr>
            <w:tcW w:w="348" w:type="pct"/>
          </w:tcPr>
          <w:p w14:paraId="082858D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2.4</w:t>
            </w:r>
          </w:p>
          <w:p w14:paraId="0EE4784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(1.5)</w:t>
            </w:r>
          </w:p>
        </w:tc>
        <w:tc>
          <w:tcPr>
            <w:tcW w:w="351" w:type="pct"/>
          </w:tcPr>
          <w:p w14:paraId="6DE755FE"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1.4</w:t>
            </w:r>
          </w:p>
          <w:p w14:paraId="5EDAEA6E"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(0.2)</w:t>
            </w:r>
          </w:p>
        </w:tc>
        <w:tc>
          <w:tcPr>
            <w:tcW w:w="348" w:type="pct"/>
          </w:tcPr>
          <w:p w14:paraId="0F60733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w:t>
            </w:r>
            <w:r w:rsidRPr="00261A00">
              <w:rPr>
                <w:rFonts w:hint="eastAsia"/>
                <w:b/>
                <w:spacing w:val="0"/>
                <w:sz w:val="20"/>
                <w:lang w:eastAsia="zh-HK"/>
              </w:rPr>
              <w:t>6</w:t>
            </w:r>
          </w:p>
          <w:p w14:paraId="023135D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(0.3)</w:t>
            </w:r>
          </w:p>
        </w:tc>
        <w:tc>
          <w:tcPr>
            <w:tcW w:w="341" w:type="pct"/>
          </w:tcPr>
          <w:p w14:paraId="34EA39D1"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1.8</w:t>
            </w:r>
          </w:p>
          <w:p w14:paraId="18B8C4D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(-0.2)</w:t>
            </w:r>
          </w:p>
        </w:tc>
        <w:tc>
          <w:tcPr>
            <w:tcW w:w="341" w:type="pct"/>
          </w:tcPr>
          <w:p w14:paraId="0363781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1.1</w:t>
            </w:r>
          </w:p>
          <w:p w14:paraId="1A03E9D9"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(0.7)</w:t>
            </w:r>
          </w:p>
        </w:tc>
        <w:tc>
          <w:tcPr>
            <w:tcW w:w="340" w:type="pct"/>
          </w:tcPr>
          <w:p w14:paraId="232EE03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1.3</w:t>
            </w:r>
          </w:p>
          <w:p w14:paraId="585D0C5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(0.4)</w:t>
            </w:r>
          </w:p>
        </w:tc>
      </w:tr>
      <w:tr w:rsidR="002B6908" w:rsidRPr="00025592" w14:paraId="4E24F8F4" w14:textId="77777777" w:rsidTr="00CB68E7">
        <w:trPr>
          <w:jc w:val="center"/>
        </w:trPr>
        <w:tc>
          <w:tcPr>
            <w:tcW w:w="1293" w:type="pct"/>
          </w:tcPr>
          <w:p w14:paraId="3FBA7E0D" w14:textId="77777777" w:rsidR="002B6908" w:rsidRPr="000B0817" w:rsidRDefault="002B6908" w:rsidP="007F3E43">
            <w:pPr>
              <w:keepNext/>
              <w:tabs>
                <w:tab w:val="clear" w:pos="936"/>
                <w:tab w:val="decimal" w:pos="317"/>
              </w:tabs>
              <w:snapToGrid w:val="0"/>
              <w:spacing w:afterLines="30" w:after="108" w:line="240" w:lineRule="atLeast"/>
              <w:ind w:firstLineChars="100" w:firstLine="196"/>
              <w:rPr>
                <w:rFonts w:eastAsia="華康中黑體"/>
                <w:spacing w:val="-2"/>
                <w:sz w:val="20"/>
              </w:rPr>
            </w:pPr>
            <w:r w:rsidRPr="000B0817">
              <w:rPr>
                <w:rFonts w:eastAsia="華康中黑體" w:hint="eastAsia"/>
                <w:spacing w:val="-2"/>
                <w:sz w:val="20"/>
              </w:rPr>
              <w:t>基本消費物價指數</w:t>
            </w:r>
            <w:r w:rsidRPr="000B0817">
              <w:rPr>
                <w:rFonts w:eastAsia="華康中黑體"/>
                <w:spacing w:val="-2"/>
                <w:sz w:val="20"/>
              </w:rPr>
              <w:t>^</w:t>
            </w:r>
          </w:p>
        </w:tc>
        <w:tc>
          <w:tcPr>
            <w:tcW w:w="472" w:type="pct"/>
          </w:tcPr>
          <w:p w14:paraId="70829495"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lang w:eastAsia="zh-HK"/>
              </w:rPr>
              <w:t>1.1</w:t>
            </w:r>
          </w:p>
        </w:tc>
        <w:tc>
          <w:tcPr>
            <w:tcW w:w="471" w:type="pct"/>
          </w:tcPr>
          <w:p w14:paraId="5C8B0C7E"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lang w:eastAsia="zh-HK"/>
              </w:rPr>
              <w:t>1.1</w:t>
            </w:r>
          </w:p>
        </w:tc>
        <w:tc>
          <w:tcPr>
            <w:tcW w:w="347" w:type="pct"/>
          </w:tcPr>
          <w:p w14:paraId="5D6B1B0F"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1.0</w:t>
            </w:r>
          </w:p>
          <w:p w14:paraId="70F9EDC1"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(0.1)</w:t>
            </w:r>
          </w:p>
        </w:tc>
        <w:tc>
          <w:tcPr>
            <w:tcW w:w="348" w:type="pct"/>
          </w:tcPr>
          <w:p w14:paraId="3F23071D"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1.0</w:t>
            </w:r>
          </w:p>
          <w:p w14:paraId="3DD4C312"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lang w:eastAsia="zh-HK"/>
              </w:rPr>
              <w:t xml:space="preserve"> (0.3)</w:t>
            </w:r>
          </w:p>
        </w:tc>
        <w:tc>
          <w:tcPr>
            <w:tcW w:w="348" w:type="pct"/>
          </w:tcPr>
          <w:p w14:paraId="264C53B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1.1</w:t>
            </w:r>
          </w:p>
          <w:p w14:paraId="59348CF0"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 xml:space="preserve"> (0.4)</w:t>
            </w:r>
          </w:p>
        </w:tc>
        <w:tc>
          <w:tcPr>
            <w:tcW w:w="351" w:type="pct"/>
          </w:tcPr>
          <w:p w14:paraId="500FBDE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1.2</w:t>
            </w:r>
          </w:p>
          <w:p w14:paraId="06F47A1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(0.4)</w:t>
            </w:r>
          </w:p>
        </w:tc>
        <w:tc>
          <w:tcPr>
            <w:tcW w:w="348" w:type="pct"/>
          </w:tcPr>
          <w:p w14:paraId="6BFDA3C4"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1.2</w:t>
            </w:r>
          </w:p>
          <w:p w14:paraId="7C80925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(0.1)</w:t>
            </w:r>
          </w:p>
        </w:tc>
        <w:tc>
          <w:tcPr>
            <w:tcW w:w="341" w:type="pct"/>
          </w:tcPr>
          <w:p w14:paraId="6B7BAC8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1.1</w:t>
            </w:r>
          </w:p>
          <w:p w14:paraId="0295F662"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(0.2)</w:t>
            </w:r>
          </w:p>
        </w:tc>
        <w:tc>
          <w:tcPr>
            <w:tcW w:w="341" w:type="pct"/>
          </w:tcPr>
          <w:p w14:paraId="4E19CA8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1.0</w:t>
            </w:r>
          </w:p>
          <w:p w14:paraId="4E7B1DA5"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(0.3)</w:t>
            </w:r>
          </w:p>
        </w:tc>
        <w:tc>
          <w:tcPr>
            <w:tcW w:w="340" w:type="pct"/>
          </w:tcPr>
          <w:p w14:paraId="642D1ECD"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1.1</w:t>
            </w:r>
          </w:p>
          <w:p w14:paraId="320392D6"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lang w:eastAsia="zh-HK"/>
              </w:rPr>
              <w:t>(0.4)</w:t>
            </w:r>
          </w:p>
        </w:tc>
      </w:tr>
      <w:tr w:rsidR="002B6908" w:rsidRPr="00F84682" w14:paraId="7F6B4487" w14:textId="77777777" w:rsidTr="00CB68E7">
        <w:trPr>
          <w:jc w:val="center"/>
        </w:trPr>
        <w:tc>
          <w:tcPr>
            <w:tcW w:w="1293" w:type="pct"/>
          </w:tcPr>
          <w:p w14:paraId="7B6F80FA" w14:textId="77777777" w:rsidR="002B6908" w:rsidRPr="000B0817" w:rsidRDefault="002B6908" w:rsidP="007F3E43">
            <w:pPr>
              <w:keepNext/>
              <w:tabs>
                <w:tab w:val="clear" w:pos="936"/>
                <w:tab w:val="clear" w:pos="1560"/>
                <w:tab w:val="clear" w:pos="2184"/>
                <w:tab w:val="clear" w:pos="2808"/>
                <w:tab w:val="decimal" w:pos="317"/>
              </w:tabs>
              <w:snapToGrid w:val="0"/>
              <w:spacing w:beforeLines="30" w:before="108" w:afterLines="30" w:after="108" w:line="240" w:lineRule="atLeast"/>
              <w:rPr>
                <w:i/>
                <w:spacing w:val="-6"/>
                <w:sz w:val="20"/>
              </w:rPr>
            </w:pPr>
            <w:r w:rsidRPr="000B0817">
              <w:rPr>
                <w:rFonts w:eastAsia="華康中黑體" w:hint="eastAsia"/>
                <w:spacing w:val="-6"/>
                <w:sz w:val="20"/>
              </w:rPr>
              <w:t>名義本地生產總值</w:t>
            </w:r>
            <w:r w:rsidRPr="000B0817">
              <w:rPr>
                <w:rFonts w:eastAsia="華康中黑體"/>
                <w:spacing w:val="-6"/>
                <w:sz w:val="20"/>
              </w:rPr>
              <w:br/>
            </w:r>
            <w:r w:rsidRPr="000B0817">
              <w:rPr>
                <w:rFonts w:hint="eastAsia"/>
                <w:i/>
                <w:spacing w:val="-6"/>
                <w:sz w:val="20"/>
              </w:rPr>
              <w:t>增減百分率</w:t>
            </w:r>
          </w:p>
        </w:tc>
        <w:tc>
          <w:tcPr>
            <w:tcW w:w="472" w:type="pct"/>
            <w:vAlign w:val="center"/>
          </w:tcPr>
          <w:p w14:paraId="7FB3FCF0"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rFonts w:hint="eastAsia"/>
                <w:b/>
                <w:spacing w:val="0"/>
                <w:sz w:val="20"/>
              </w:rPr>
              <w:t>6.</w:t>
            </w:r>
            <w:r w:rsidRPr="00320E71">
              <w:rPr>
                <w:b/>
                <w:spacing w:val="0"/>
                <w:sz w:val="20"/>
              </w:rPr>
              <w:t>9</w:t>
            </w:r>
          </w:p>
        </w:tc>
        <w:tc>
          <w:tcPr>
            <w:tcW w:w="471" w:type="pct"/>
            <w:vAlign w:val="center"/>
          </w:tcPr>
          <w:p w14:paraId="36FB88C9" w14:textId="77777777" w:rsidR="002B6908" w:rsidRPr="00320E71" w:rsidRDefault="002B6908" w:rsidP="007F3E43">
            <w:pPr>
              <w:keepNext/>
              <w:tabs>
                <w:tab w:val="clear" w:pos="936"/>
                <w:tab w:val="clear" w:pos="1560"/>
                <w:tab w:val="clear" w:pos="2184"/>
                <w:tab w:val="clear" w:pos="2808"/>
                <w:tab w:val="decimal" w:pos="501"/>
              </w:tabs>
              <w:snapToGrid w:val="0"/>
              <w:spacing w:after="0" w:line="240" w:lineRule="auto"/>
              <w:jc w:val="left"/>
              <w:rPr>
                <w:b/>
                <w:spacing w:val="0"/>
                <w:sz w:val="20"/>
                <w:lang w:eastAsia="zh-HK"/>
              </w:rPr>
            </w:pPr>
            <w:r w:rsidRPr="00320E71">
              <w:rPr>
                <w:b/>
                <w:spacing w:val="0"/>
                <w:sz w:val="20"/>
              </w:rPr>
              <w:t>4.5</w:t>
            </w:r>
          </w:p>
        </w:tc>
        <w:tc>
          <w:tcPr>
            <w:tcW w:w="347" w:type="pct"/>
            <w:vAlign w:val="center"/>
          </w:tcPr>
          <w:p w14:paraId="6ABB5BC3"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rPr>
              <w:t>7.0</w:t>
            </w:r>
          </w:p>
        </w:tc>
        <w:tc>
          <w:tcPr>
            <w:tcW w:w="348" w:type="pct"/>
            <w:vAlign w:val="center"/>
          </w:tcPr>
          <w:p w14:paraId="30BC3264" w14:textId="77777777" w:rsidR="002B6908" w:rsidRPr="00320E71"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320E71">
              <w:rPr>
                <w:b/>
                <w:spacing w:val="0"/>
                <w:sz w:val="20"/>
              </w:rPr>
              <w:t>7.9</w:t>
            </w:r>
          </w:p>
        </w:tc>
        <w:tc>
          <w:tcPr>
            <w:tcW w:w="348" w:type="pct"/>
            <w:vAlign w:val="center"/>
          </w:tcPr>
          <w:p w14:paraId="3EE5E50B"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rPr>
              <w:t>7.1</w:t>
            </w:r>
          </w:p>
        </w:tc>
        <w:tc>
          <w:tcPr>
            <w:tcW w:w="351" w:type="pct"/>
            <w:vAlign w:val="center"/>
          </w:tcPr>
          <w:p w14:paraId="1490B21D"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rPr>
              <w:t>5.7</w:t>
            </w:r>
          </w:p>
        </w:tc>
        <w:tc>
          <w:tcPr>
            <w:tcW w:w="348" w:type="pct"/>
            <w:vAlign w:val="center"/>
          </w:tcPr>
          <w:p w14:paraId="0E0DB138"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rPr>
              <w:t>4.5</w:t>
            </w:r>
          </w:p>
        </w:tc>
        <w:tc>
          <w:tcPr>
            <w:tcW w:w="341" w:type="pct"/>
            <w:vAlign w:val="center"/>
          </w:tcPr>
          <w:p w14:paraId="3E546B0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rPr>
              <w:t>3.9</w:t>
            </w:r>
          </w:p>
        </w:tc>
        <w:tc>
          <w:tcPr>
            <w:tcW w:w="341" w:type="pct"/>
            <w:vAlign w:val="center"/>
          </w:tcPr>
          <w:p w14:paraId="479B333A"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rPr>
              <w:t>4.6</w:t>
            </w:r>
          </w:p>
        </w:tc>
        <w:tc>
          <w:tcPr>
            <w:tcW w:w="340" w:type="pct"/>
            <w:vAlign w:val="center"/>
          </w:tcPr>
          <w:p w14:paraId="280914AF" w14:textId="77777777" w:rsidR="002B6908" w:rsidRPr="00261A00" w:rsidRDefault="002B6908" w:rsidP="007F3E43">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61A00">
              <w:rPr>
                <w:b/>
                <w:spacing w:val="0"/>
                <w:sz w:val="20"/>
              </w:rPr>
              <w:t>5.1</w:t>
            </w:r>
          </w:p>
        </w:tc>
      </w:tr>
    </w:tbl>
    <w:p w14:paraId="5130EFC5" w14:textId="77777777" w:rsidR="002B6908" w:rsidRPr="000B0817" w:rsidRDefault="002B6908" w:rsidP="006D5A4A">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5D6B34CD" w14:textId="77777777" w:rsidR="002B6908" w:rsidRPr="00AA590A" w:rsidRDefault="002B6908" w:rsidP="0075616A">
      <w:pPr>
        <w:keepNext/>
        <w:tabs>
          <w:tab w:val="left" w:pos="426"/>
        </w:tabs>
        <w:topLinePunct/>
        <w:snapToGrid w:val="0"/>
        <w:spacing w:before="60" w:after="60" w:line="240" w:lineRule="auto"/>
        <w:ind w:left="-142" w:right="-852" w:hanging="680"/>
        <w:rPr>
          <w:snapToGrid w:val="0"/>
          <w:sz w:val="18"/>
        </w:rPr>
      </w:pPr>
      <w:r w:rsidRPr="00AA590A">
        <w:rPr>
          <w:rFonts w:hint="eastAsia"/>
          <w:snapToGrid w:val="0"/>
          <w:sz w:val="18"/>
        </w:rPr>
        <w:t>註：</w:t>
      </w:r>
      <w:r w:rsidRPr="00AA590A">
        <w:rPr>
          <w:snapToGrid w:val="0"/>
          <w:sz w:val="18"/>
        </w:rPr>
        <w:tab/>
      </w:r>
      <w:r w:rsidRPr="00AA590A">
        <w:rPr>
          <w:rFonts w:hint="eastAsia"/>
          <w:snapToGrid w:val="0"/>
          <w:sz w:val="18"/>
        </w:rPr>
        <w:t>這些數</w:t>
      </w:r>
      <w:r w:rsidRPr="007F3E43">
        <w:rPr>
          <w:rFonts w:hint="eastAsia"/>
          <w:snapToGrid w:val="0"/>
          <w:sz w:val="18"/>
        </w:rPr>
        <w:t>字會在取得更多數據後再作修訂。經季節性調整後與上季度比較的增減百分率，不適用於本地固定資本形成總額，原因是本地固定資本形成總額常有短期變動，並無明顯的季節性模式。</w:t>
      </w:r>
    </w:p>
    <w:p w14:paraId="74D58D50" w14:textId="0AC9017D" w:rsidR="002B6908" w:rsidRPr="00AA590A" w:rsidRDefault="002B6908" w:rsidP="0075616A">
      <w:pPr>
        <w:keepNext/>
        <w:tabs>
          <w:tab w:val="clear" w:pos="936"/>
          <w:tab w:val="clear" w:pos="1560"/>
          <w:tab w:val="clear" w:pos="2184"/>
          <w:tab w:val="clear" w:pos="2808"/>
          <w:tab w:val="left" w:pos="426"/>
          <w:tab w:val="left" w:pos="709"/>
        </w:tabs>
        <w:topLinePunct/>
        <w:snapToGrid w:val="0"/>
        <w:spacing w:before="60" w:after="60" w:line="240" w:lineRule="auto"/>
        <w:ind w:left="-142" w:right="-852" w:hanging="709"/>
        <w:rPr>
          <w:sz w:val="18"/>
        </w:rPr>
      </w:pPr>
      <w:r w:rsidRPr="00AA590A">
        <w:rPr>
          <w:sz w:val="18"/>
        </w:rPr>
        <w:tab/>
      </w:r>
      <w:r w:rsidRPr="00AA590A">
        <w:rPr>
          <w:rFonts w:hint="eastAsia"/>
          <w:sz w:val="18"/>
        </w:rPr>
        <w:t>(&amp;)</w:t>
      </w:r>
      <w:r w:rsidRPr="00AA590A">
        <w:rPr>
          <w:sz w:val="18"/>
        </w:rPr>
        <w:tab/>
      </w:r>
      <w:r w:rsidRPr="00AA590A">
        <w:rPr>
          <w:rFonts w:hint="eastAsia"/>
          <w:sz w:val="18"/>
        </w:rPr>
        <w:t>數字是根據《</w:t>
      </w:r>
      <w:r w:rsidR="0075616A" w:rsidRPr="0075616A">
        <w:rPr>
          <w:rFonts w:hint="eastAsia"/>
          <w:sz w:val="18"/>
        </w:rPr>
        <w:t>二零零八年</w:t>
      </w:r>
      <w:r w:rsidRPr="00AA590A">
        <w:rPr>
          <w:rFonts w:hint="eastAsia"/>
          <w:sz w:val="18"/>
        </w:rPr>
        <w:t>國民</w:t>
      </w:r>
      <w:r w:rsidRPr="004D5571">
        <w:rPr>
          <w:rFonts w:hint="eastAsia"/>
          <w:sz w:val="18"/>
        </w:rPr>
        <w:t>賬戶</w:t>
      </w:r>
      <w:r w:rsidRPr="00AA590A">
        <w:rPr>
          <w:rFonts w:hint="eastAsia"/>
          <w:sz w:val="18"/>
        </w:rPr>
        <w:t>體系》的標準，採用所有權轉移原則記錄外地加工貨品</w:t>
      </w:r>
      <w:r w:rsidR="0075616A" w:rsidRPr="00AA590A">
        <w:rPr>
          <w:sz w:val="18"/>
        </w:rPr>
        <w:tab/>
      </w:r>
      <w:r w:rsidRPr="00AA590A">
        <w:rPr>
          <w:rFonts w:hint="eastAsia"/>
          <w:sz w:val="18"/>
        </w:rPr>
        <w:t>和轉手商貿活動編製而成的。</w:t>
      </w:r>
    </w:p>
    <w:p w14:paraId="3F9B2508" w14:textId="77777777" w:rsidR="002B6908" w:rsidRPr="00AA590A" w:rsidRDefault="002B6908" w:rsidP="0075616A">
      <w:pPr>
        <w:keepNext/>
        <w:tabs>
          <w:tab w:val="clear" w:pos="936"/>
          <w:tab w:val="clear" w:pos="1560"/>
          <w:tab w:val="clear" w:pos="2184"/>
          <w:tab w:val="clear" w:pos="2808"/>
          <w:tab w:val="left" w:pos="426"/>
          <w:tab w:val="left" w:pos="709"/>
        </w:tabs>
        <w:topLinePunct/>
        <w:snapToGrid w:val="0"/>
        <w:spacing w:before="60" w:after="60" w:line="240" w:lineRule="auto"/>
        <w:ind w:left="-142" w:right="-852" w:hanging="709"/>
        <w:rPr>
          <w:sz w:val="18"/>
        </w:rPr>
      </w:pPr>
      <w:r w:rsidRPr="00AA590A">
        <w:rPr>
          <w:sz w:val="18"/>
        </w:rPr>
        <w:tab/>
        <w:t>(#)</w:t>
      </w:r>
      <w:r w:rsidRPr="00AA590A">
        <w:rPr>
          <w:sz w:val="18"/>
        </w:rPr>
        <w:tab/>
      </w:r>
      <w:r w:rsidRPr="00AA590A">
        <w:rPr>
          <w:rFonts w:hint="eastAsia"/>
          <w:sz w:val="18"/>
        </w:rPr>
        <w:t>修訂</w:t>
      </w:r>
      <w:r w:rsidRPr="00AA590A">
        <w:rPr>
          <w:rFonts w:hint="eastAsia"/>
          <w:sz w:val="18"/>
          <w:lang w:eastAsia="zh-HK"/>
        </w:rPr>
        <w:t>數</w:t>
      </w:r>
      <w:r w:rsidRPr="00AA590A">
        <w:rPr>
          <w:rFonts w:cs="華康超明體" w:hint="eastAsia"/>
          <w:sz w:val="18"/>
        </w:rPr>
        <w:t>字。</w:t>
      </w:r>
    </w:p>
    <w:p w14:paraId="3DE87E32" w14:textId="77777777" w:rsidR="002B6908" w:rsidRPr="00AA590A" w:rsidRDefault="002B6908" w:rsidP="0075616A">
      <w:pPr>
        <w:keepNext/>
        <w:tabs>
          <w:tab w:val="clear" w:pos="936"/>
          <w:tab w:val="clear" w:pos="1560"/>
          <w:tab w:val="clear" w:pos="2184"/>
          <w:tab w:val="clear" w:pos="2808"/>
          <w:tab w:val="left" w:pos="426"/>
          <w:tab w:val="left" w:pos="709"/>
        </w:tabs>
        <w:topLinePunct/>
        <w:snapToGrid w:val="0"/>
        <w:spacing w:before="60" w:after="60" w:line="240" w:lineRule="auto"/>
        <w:ind w:left="-142" w:right="-852" w:hanging="709"/>
        <w:rPr>
          <w:sz w:val="18"/>
        </w:rPr>
      </w:pPr>
      <w:r w:rsidRPr="00AA590A">
        <w:rPr>
          <w:sz w:val="18"/>
        </w:rPr>
        <w:tab/>
        <w:t>(  )</w:t>
      </w:r>
      <w:r w:rsidRPr="00AA590A">
        <w:rPr>
          <w:sz w:val="18"/>
        </w:rPr>
        <w:tab/>
      </w:r>
      <w:r w:rsidRPr="00AA590A">
        <w:rPr>
          <w:rFonts w:hint="eastAsia"/>
          <w:sz w:val="18"/>
        </w:rPr>
        <w:t>經季節性調整後與上季</w:t>
      </w:r>
      <w:r w:rsidRPr="00AA590A">
        <w:rPr>
          <w:rFonts w:hint="eastAsia"/>
          <w:sz w:val="18"/>
          <w:lang w:eastAsia="zh-HK"/>
        </w:rPr>
        <w:t>度</w:t>
      </w:r>
      <w:r w:rsidRPr="00AA590A">
        <w:rPr>
          <w:rFonts w:cs="華康超明體" w:hint="eastAsia"/>
          <w:sz w:val="18"/>
        </w:rPr>
        <w:t>比較的增減百分</w:t>
      </w:r>
      <w:r w:rsidRPr="00AA590A">
        <w:rPr>
          <w:rFonts w:cs="華康超明體" w:hint="eastAsia"/>
          <w:sz w:val="18"/>
          <w:lang w:eastAsia="zh-HK"/>
        </w:rPr>
        <w:t>率</w:t>
      </w:r>
      <w:r w:rsidRPr="002F4E2F">
        <w:rPr>
          <w:rFonts w:cs="華康超明體"/>
          <w:sz w:val="18"/>
          <w:vertAlign w:val="superscript"/>
          <w:lang w:eastAsia="zh-HK"/>
        </w:rPr>
        <w:t>(2)</w:t>
      </w:r>
      <w:r w:rsidRPr="00AA590A">
        <w:rPr>
          <w:rFonts w:cs="華康超明體" w:hint="eastAsia"/>
          <w:sz w:val="18"/>
        </w:rPr>
        <w:t>。</w:t>
      </w:r>
    </w:p>
    <w:p w14:paraId="1B3E1949" w14:textId="77777777" w:rsidR="002B6908" w:rsidRPr="00AA590A" w:rsidRDefault="002B6908" w:rsidP="0075616A">
      <w:pPr>
        <w:keepNext/>
        <w:tabs>
          <w:tab w:val="clear" w:pos="936"/>
          <w:tab w:val="clear" w:pos="1560"/>
          <w:tab w:val="clear" w:pos="2184"/>
          <w:tab w:val="clear" w:pos="2808"/>
          <w:tab w:val="left" w:pos="426"/>
          <w:tab w:val="left" w:pos="709"/>
        </w:tabs>
        <w:topLinePunct/>
        <w:snapToGrid w:val="0"/>
        <w:spacing w:before="60" w:after="60" w:line="240" w:lineRule="auto"/>
        <w:ind w:left="-142" w:right="-852" w:hanging="709"/>
        <w:rPr>
          <w:sz w:val="18"/>
        </w:rPr>
      </w:pPr>
      <w:r w:rsidRPr="00AA590A">
        <w:rPr>
          <w:sz w:val="18"/>
        </w:rPr>
        <w:tab/>
      </w:r>
      <w:r w:rsidRPr="00AA590A">
        <w:rPr>
          <w:rFonts w:hint="eastAsia"/>
          <w:sz w:val="18"/>
        </w:rPr>
        <w:t>(^)</w:t>
      </w:r>
      <w:r w:rsidRPr="00AA590A">
        <w:rPr>
          <w:sz w:val="18"/>
        </w:rPr>
        <w:tab/>
      </w:r>
      <w:r w:rsidRPr="00AA590A">
        <w:rPr>
          <w:rFonts w:hint="eastAsia"/>
          <w:sz w:val="18"/>
        </w:rPr>
        <w:t>撇除政府一次性紓緩措施的影響。</w:t>
      </w:r>
    </w:p>
    <w:p w14:paraId="385CC62F" w14:textId="77777777" w:rsidR="002B6908" w:rsidRPr="00EA3DA2" w:rsidRDefault="002B6908" w:rsidP="007F3E43">
      <w:pPr>
        <w:tabs>
          <w:tab w:val="clear" w:pos="936"/>
          <w:tab w:val="clear" w:pos="1560"/>
          <w:tab w:val="clear" w:pos="2184"/>
          <w:tab w:val="clear" w:pos="2808"/>
        </w:tabs>
        <w:overflowPunct/>
        <w:adjustRightInd/>
        <w:spacing w:after="0" w:line="240" w:lineRule="auto"/>
        <w:jc w:val="left"/>
        <w:textAlignment w:val="auto"/>
        <w:rPr>
          <w:lang w:eastAsia="zh-HK"/>
        </w:rPr>
      </w:pPr>
    </w:p>
    <w:p w14:paraId="39F1F871" w14:textId="77777777" w:rsidR="007F3E43" w:rsidRDefault="007F3E43">
      <w:pPr>
        <w:tabs>
          <w:tab w:val="clear" w:pos="936"/>
          <w:tab w:val="clear" w:pos="1560"/>
          <w:tab w:val="clear" w:pos="2184"/>
          <w:tab w:val="clear" w:pos="2808"/>
        </w:tabs>
        <w:overflowPunct/>
        <w:adjustRightInd/>
        <w:spacing w:after="0" w:line="240" w:lineRule="auto"/>
        <w:jc w:val="left"/>
        <w:textAlignment w:val="auto"/>
        <w:rPr>
          <w:rFonts w:eastAsia="華康中黑體"/>
          <w:lang w:val="en-GB" w:eastAsia="zh-HK"/>
        </w:rPr>
      </w:pPr>
      <w:r>
        <w:rPr>
          <w:lang w:val="en-GB" w:eastAsia="zh-HK"/>
        </w:rPr>
        <w:br w:type="page"/>
      </w:r>
    </w:p>
    <w:p w14:paraId="7601F2F5" w14:textId="6B586A46" w:rsidR="002B6908" w:rsidRPr="006D5A4A" w:rsidRDefault="002B6908" w:rsidP="0093046C">
      <w:pPr>
        <w:pStyle w:val="120"/>
      </w:pPr>
      <w:r w:rsidRPr="00D43A2A">
        <w:rPr>
          <w:lang w:val="en-GB" w:eastAsia="zh-HK"/>
        </w:rPr>
        <w:lastRenderedPageBreak/>
        <w:t>內部需求</w:t>
      </w:r>
    </w:p>
    <w:p w14:paraId="43D2857C" w14:textId="674E1604" w:rsidR="002B6908" w:rsidRDefault="002B6908" w:rsidP="0093046C">
      <w:pPr>
        <w:rPr>
          <w:lang w:val="en-GB" w:eastAsia="zh-HK"/>
        </w:rPr>
      </w:pPr>
      <w:r w:rsidRPr="00886DAF">
        <w:rPr>
          <w:b/>
          <w:lang w:val="en-GB" w:eastAsia="zh-HK"/>
        </w:rPr>
        <w:t>1.</w:t>
      </w:r>
      <w:r w:rsidR="0093046C">
        <w:rPr>
          <w:b/>
          <w:lang w:val="en-GB"/>
        </w:rPr>
        <w:t>6</w:t>
      </w:r>
      <w:r w:rsidRPr="00D43A2A">
        <w:rPr>
          <w:lang w:val="en-GB" w:eastAsia="zh-HK"/>
        </w:rPr>
        <w:tab/>
      </w:r>
      <w:bookmarkStart w:id="8" w:name="_Hlk221714306"/>
      <w:r>
        <w:rPr>
          <w:rFonts w:hint="eastAsia"/>
          <w:lang w:val="en-GB" w:eastAsia="zh-HK"/>
        </w:rPr>
        <w:t>在本地消費市道逐步改善下</w:t>
      </w:r>
      <w:r w:rsidRPr="004F49F3">
        <w:rPr>
          <w:rFonts w:hint="eastAsia"/>
          <w:lang w:val="en-GB" w:eastAsia="zh-HK"/>
        </w:rPr>
        <w:t>，</w:t>
      </w:r>
      <w:r w:rsidRPr="00DF6D6B">
        <w:rPr>
          <w:rFonts w:hint="eastAsia"/>
          <w:i/>
          <w:lang w:val="en-GB" w:eastAsia="zh-HK"/>
        </w:rPr>
        <w:t>私人消費開支</w:t>
      </w:r>
      <w:r>
        <w:rPr>
          <w:rFonts w:hint="eastAsia"/>
          <w:lang w:val="en-GB" w:eastAsia="zh-HK"/>
        </w:rPr>
        <w:t>在二零二五年</w:t>
      </w:r>
      <w:r w:rsidR="00550956">
        <w:rPr>
          <w:rFonts w:hint="eastAsia"/>
          <w:lang w:val="en-GB" w:eastAsia="zh-HK"/>
        </w:rPr>
        <w:t>恢復</w:t>
      </w:r>
      <w:r>
        <w:rPr>
          <w:rFonts w:hint="eastAsia"/>
          <w:lang w:eastAsia="zh-HK"/>
        </w:rPr>
        <w:t>輕微</w:t>
      </w:r>
      <w:r w:rsidR="00550AEB">
        <w:rPr>
          <w:rFonts w:hint="eastAsia"/>
        </w:rPr>
        <w:t>上升</w:t>
      </w:r>
      <w:r w:rsidR="00550956">
        <w:rPr>
          <w:rFonts w:hint="eastAsia"/>
        </w:rPr>
        <w:t>。</w:t>
      </w:r>
      <w:bookmarkStart w:id="9" w:name="_Hlk221714366"/>
      <w:r w:rsidR="00550956" w:rsidRPr="00550956">
        <w:rPr>
          <w:rFonts w:hint="eastAsia"/>
        </w:rPr>
        <w:t>私人消費開支</w:t>
      </w:r>
      <w:r>
        <w:rPr>
          <w:rFonts w:hint="eastAsia"/>
          <w:lang w:val="en-GB" w:eastAsia="zh-HK"/>
        </w:rPr>
        <w:t>自第二季</w:t>
      </w:r>
      <w:r w:rsidR="00670EA3">
        <w:rPr>
          <w:rFonts w:hint="eastAsia"/>
          <w:lang w:val="en-GB" w:eastAsia="zh-HK"/>
        </w:rPr>
        <w:t>起</w:t>
      </w:r>
      <w:r w:rsidR="00491073">
        <w:rPr>
          <w:rFonts w:hint="eastAsia"/>
          <w:lang w:val="en-GB" w:eastAsia="zh-HK"/>
        </w:rPr>
        <w:t>回</w:t>
      </w:r>
      <w:r>
        <w:rPr>
          <w:rFonts w:hint="eastAsia"/>
          <w:lang w:val="en-GB"/>
        </w:rPr>
        <w:t>復</w:t>
      </w:r>
      <w:r>
        <w:rPr>
          <w:rFonts w:hint="eastAsia"/>
          <w:lang w:val="en-GB" w:eastAsia="zh-HK"/>
        </w:rPr>
        <w:t>增長，</w:t>
      </w:r>
      <w:r w:rsidR="00045CC2">
        <w:rPr>
          <w:rFonts w:hint="eastAsia"/>
          <w:lang w:val="en-GB" w:eastAsia="zh-HK"/>
        </w:rPr>
        <w:t>而</w:t>
      </w:r>
      <w:r w:rsidR="006048A9">
        <w:rPr>
          <w:rFonts w:hint="eastAsia"/>
          <w:lang w:val="en-GB" w:eastAsia="zh-HK"/>
        </w:rPr>
        <w:t>且升幅</w:t>
      </w:r>
      <w:r>
        <w:rPr>
          <w:rFonts w:hint="eastAsia"/>
          <w:lang w:val="en-GB" w:eastAsia="zh-HK"/>
        </w:rPr>
        <w:t>在下半年</w:t>
      </w:r>
      <w:r w:rsidR="001A2E25">
        <w:rPr>
          <w:rFonts w:hint="eastAsia"/>
          <w:lang w:val="en-GB"/>
        </w:rPr>
        <w:t>稍</w:t>
      </w:r>
      <w:r w:rsidR="006048A9">
        <w:rPr>
          <w:rFonts w:hint="eastAsia"/>
          <w:lang w:val="en-GB" w:eastAsia="zh-HK"/>
        </w:rPr>
        <w:t>微</w:t>
      </w:r>
      <w:r>
        <w:rPr>
          <w:rFonts w:hint="eastAsia"/>
          <w:lang w:val="en-GB" w:eastAsia="zh-HK"/>
        </w:rPr>
        <w:t>加快。</w:t>
      </w:r>
      <w:bookmarkEnd w:id="9"/>
      <w:r w:rsidRPr="004F49F3">
        <w:rPr>
          <w:rFonts w:hint="eastAsia"/>
          <w:lang w:val="en-GB" w:eastAsia="zh-HK"/>
        </w:rPr>
        <w:t>二零二</w:t>
      </w:r>
      <w:r>
        <w:rPr>
          <w:rFonts w:hint="eastAsia"/>
          <w:lang w:val="en-GB" w:eastAsia="zh-HK"/>
        </w:rPr>
        <w:t>五</w:t>
      </w:r>
      <w:r w:rsidRPr="004F49F3">
        <w:rPr>
          <w:rFonts w:hint="eastAsia"/>
          <w:lang w:val="en-GB" w:eastAsia="zh-HK"/>
        </w:rPr>
        <w:t>年全年合計</w:t>
      </w:r>
      <w:r>
        <w:rPr>
          <w:rFonts w:hint="eastAsia"/>
          <w:lang w:val="en-GB" w:eastAsia="zh-HK"/>
        </w:rPr>
        <w:t>，</w:t>
      </w:r>
      <w:r w:rsidRPr="004F49F3">
        <w:rPr>
          <w:rFonts w:hint="eastAsia"/>
          <w:lang w:val="en-GB" w:eastAsia="zh-HK"/>
        </w:rPr>
        <w:t>私人消費開支</w:t>
      </w:r>
      <w:r w:rsidR="00F10B73">
        <w:rPr>
          <w:rFonts w:hint="eastAsia"/>
          <w:lang w:val="en-GB" w:eastAsia="zh-HK"/>
        </w:rPr>
        <w:t>實</w:t>
      </w:r>
      <w:r>
        <w:rPr>
          <w:rFonts w:hint="eastAsia"/>
          <w:lang w:val="en-GB" w:eastAsia="zh-HK"/>
        </w:rPr>
        <w:t>質</w:t>
      </w:r>
      <w:r>
        <w:rPr>
          <w:rFonts w:hint="eastAsia"/>
          <w:lang w:eastAsia="zh-HK"/>
        </w:rPr>
        <w:t>輕微</w:t>
      </w:r>
      <w:r>
        <w:rPr>
          <w:rFonts w:hint="eastAsia"/>
          <w:lang w:val="en-GB" w:eastAsia="zh-HK"/>
        </w:rPr>
        <w:t>上升</w:t>
      </w:r>
      <w:r>
        <w:rPr>
          <w:lang w:eastAsia="zh-HK"/>
        </w:rPr>
        <w:t> </w:t>
      </w:r>
      <w:r w:rsidR="001A2E25">
        <w:rPr>
          <w:rFonts w:hint="eastAsia"/>
        </w:rPr>
        <w:t>1.7%</w:t>
      </w:r>
      <w:r>
        <w:rPr>
          <w:rFonts w:hint="eastAsia"/>
          <w:lang w:val="en-GB" w:eastAsia="zh-HK"/>
        </w:rPr>
        <w:t>，扭轉二零二四年的</w:t>
      </w:r>
      <w:r>
        <w:rPr>
          <w:lang w:eastAsia="zh-HK"/>
        </w:rPr>
        <w:t> </w:t>
      </w:r>
      <w:r>
        <w:rPr>
          <w:rFonts w:hint="eastAsia"/>
          <w:lang w:val="en-GB"/>
        </w:rPr>
        <w:t>0.2%</w:t>
      </w:r>
      <w:r>
        <w:rPr>
          <w:rFonts w:hint="eastAsia"/>
          <w:lang w:val="en-GB" w:eastAsia="zh-HK"/>
        </w:rPr>
        <w:t>跌幅</w:t>
      </w:r>
      <w:r w:rsidRPr="004F49F3">
        <w:rPr>
          <w:rFonts w:hint="eastAsia"/>
          <w:lang w:val="en-GB" w:eastAsia="zh-HK"/>
        </w:rPr>
        <w:t>。</w:t>
      </w:r>
      <w:bookmarkEnd w:id="8"/>
      <w:r w:rsidRPr="004F49F3">
        <w:rPr>
          <w:rFonts w:hint="eastAsia"/>
          <w:lang w:val="en-GB" w:eastAsia="zh-HK"/>
        </w:rPr>
        <w:t>同時，</w:t>
      </w:r>
      <w:r w:rsidRPr="001247C8">
        <w:rPr>
          <w:rFonts w:hint="eastAsia"/>
          <w:i/>
          <w:lang w:val="en-GB" w:eastAsia="zh-HK"/>
        </w:rPr>
        <w:t>政府消費開支</w:t>
      </w:r>
      <w:r>
        <w:rPr>
          <w:rFonts w:hint="eastAsia"/>
          <w:lang w:val="en-GB" w:eastAsia="zh-HK"/>
        </w:rPr>
        <w:t>繼</w:t>
      </w:r>
      <w:r w:rsidRPr="004F49F3">
        <w:rPr>
          <w:rFonts w:hint="eastAsia"/>
          <w:lang w:val="en-GB" w:eastAsia="zh-HK"/>
        </w:rPr>
        <w:t>二零二</w:t>
      </w:r>
      <w:r>
        <w:rPr>
          <w:rFonts w:hint="eastAsia"/>
          <w:lang w:val="en-GB" w:eastAsia="zh-HK"/>
        </w:rPr>
        <w:t>四</w:t>
      </w:r>
      <w:r w:rsidRPr="004F49F3">
        <w:rPr>
          <w:rFonts w:hint="eastAsia"/>
          <w:lang w:val="en-GB" w:eastAsia="zh-HK"/>
        </w:rPr>
        <w:t>年實質</w:t>
      </w:r>
      <w:r>
        <w:rPr>
          <w:rFonts w:hint="eastAsia"/>
          <w:lang w:val="en-GB" w:eastAsia="zh-HK"/>
        </w:rPr>
        <w:t>上升</w:t>
      </w:r>
      <w:r>
        <w:rPr>
          <w:lang w:eastAsia="zh-HK"/>
        </w:rPr>
        <w:t> </w:t>
      </w:r>
      <w:r>
        <w:rPr>
          <w:rFonts w:hint="eastAsia"/>
          <w:lang w:val="en-GB"/>
        </w:rPr>
        <w:t>0.7</w:t>
      </w:r>
      <w:r w:rsidRPr="004F49F3">
        <w:rPr>
          <w:rFonts w:hint="eastAsia"/>
          <w:lang w:val="en-GB" w:eastAsia="zh-HK"/>
        </w:rPr>
        <w:t>%</w:t>
      </w:r>
      <w:r w:rsidRPr="004F49F3">
        <w:rPr>
          <w:rFonts w:hint="eastAsia"/>
          <w:lang w:val="en-GB" w:eastAsia="zh-HK"/>
        </w:rPr>
        <w:t>後，在二零二</w:t>
      </w:r>
      <w:r>
        <w:rPr>
          <w:rFonts w:hint="eastAsia"/>
          <w:lang w:val="en-GB" w:eastAsia="zh-HK"/>
        </w:rPr>
        <w:t>五</w:t>
      </w:r>
      <w:r w:rsidRPr="004F49F3">
        <w:rPr>
          <w:rFonts w:hint="eastAsia"/>
          <w:lang w:val="en-GB" w:eastAsia="zh-HK"/>
        </w:rPr>
        <w:t>年上升</w:t>
      </w:r>
      <w:r>
        <w:rPr>
          <w:lang w:eastAsia="zh-HK"/>
        </w:rPr>
        <w:t> </w:t>
      </w:r>
      <w:r w:rsidR="001A2E25">
        <w:rPr>
          <w:rFonts w:hint="eastAsia"/>
        </w:rPr>
        <w:t>1.6%</w:t>
      </w:r>
      <w:r w:rsidRPr="004F49F3">
        <w:rPr>
          <w:rFonts w:hint="eastAsia"/>
          <w:lang w:val="en-GB" w:eastAsia="zh-HK"/>
        </w:rPr>
        <w:t>。</w:t>
      </w:r>
    </w:p>
    <w:p w14:paraId="7E57AFD9" w14:textId="1765FB99" w:rsidR="002B6908" w:rsidRDefault="002B6908" w:rsidP="006D5A4A">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與一年前比較的實質增減百分率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7F3E43" w:rsidRPr="00877DF1" w14:paraId="14E1A76B" w14:textId="77777777" w:rsidTr="007F3E43">
        <w:tc>
          <w:tcPr>
            <w:tcW w:w="1148" w:type="dxa"/>
            <w:vAlign w:val="bottom"/>
          </w:tcPr>
          <w:p w14:paraId="51B5293D"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2DFBE9E5"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3448BCC6"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657ED5D0" w14:textId="77777777" w:rsidR="007F3E43" w:rsidRPr="00877DF1" w:rsidRDefault="007F3E43" w:rsidP="007F3E43">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4DDD7D41" w14:textId="77777777" w:rsidR="007F3E43" w:rsidRPr="00877DF1" w:rsidRDefault="007F3E43" w:rsidP="007F3E43">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451B07A5" w14:textId="77777777" w:rsidR="007F3E43" w:rsidRPr="00877DF1" w:rsidRDefault="007F3E43" w:rsidP="007F3E43">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39012766"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7C514174"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5448F155"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0D5F1CD4" w14:textId="77777777" w:rsidR="007F3E43" w:rsidRPr="00877DF1" w:rsidRDefault="007F3E43" w:rsidP="007F3E43">
            <w:pPr>
              <w:keepNext/>
              <w:tabs>
                <w:tab w:val="clear" w:pos="936"/>
              </w:tabs>
              <w:autoSpaceDE w:val="0"/>
              <w:autoSpaceDN w:val="0"/>
              <w:snapToGrid w:val="0"/>
              <w:spacing w:before="120" w:after="0" w:line="240" w:lineRule="atLeast"/>
              <w:jc w:val="center"/>
              <w:rPr>
                <w:spacing w:val="0"/>
                <w:sz w:val="20"/>
              </w:rPr>
            </w:pPr>
          </w:p>
        </w:tc>
      </w:tr>
      <w:tr w:rsidR="007F3E43" w:rsidRPr="00877DF1" w14:paraId="626236EF" w14:textId="77777777" w:rsidTr="007F3E43">
        <w:tc>
          <w:tcPr>
            <w:tcW w:w="1148" w:type="dxa"/>
            <w:vAlign w:val="bottom"/>
          </w:tcPr>
          <w:p w14:paraId="2FE06267"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4E2BDB8A"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039219F9"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16FB1AF5"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3A45F701" w14:textId="77777777" w:rsidR="007F3E43" w:rsidRPr="00877DF1" w:rsidRDefault="007F3E43" w:rsidP="007F3E43">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2921BE93" w14:textId="77777777" w:rsidR="007F3E43" w:rsidRPr="00877DF1" w:rsidRDefault="007F3E43" w:rsidP="007F3E43">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0E98E5BF"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1AB289C9"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4E5C9CBD" w14:textId="77777777" w:rsidR="007F3E43" w:rsidRPr="00877DF1" w:rsidRDefault="007F3E43" w:rsidP="007F3E43">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51F5EBC1" w14:textId="77777777" w:rsidR="007F3E43" w:rsidRPr="00877DF1" w:rsidRDefault="007F3E43" w:rsidP="007F3E43">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7F3E43" w:rsidRPr="00877DF1" w14:paraId="6FD6288E" w14:textId="77777777" w:rsidTr="007F3E43">
        <w:tc>
          <w:tcPr>
            <w:tcW w:w="1148" w:type="dxa"/>
          </w:tcPr>
          <w:p w14:paraId="6CE25746" w14:textId="77777777" w:rsidR="007F3E43" w:rsidRPr="00877DF1" w:rsidRDefault="007F3E43" w:rsidP="007F3E43">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423AFA36" w14:textId="77777777" w:rsidR="007F3E43" w:rsidRPr="00877DF1" w:rsidRDefault="007F3E43" w:rsidP="007F3E43">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6B9DC51A" w14:textId="77777777" w:rsidR="007F3E43" w:rsidRPr="00877DF1" w:rsidRDefault="007F3E43" w:rsidP="007F3E43">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1E9F6E55" w14:textId="77777777" w:rsidR="007F3E43" w:rsidRPr="00877DF1" w:rsidRDefault="007F3E43" w:rsidP="007F3E43">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65587E54" w14:textId="77777777" w:rsidR="007F3E43" w:rsidRPr="00877DF1" w:rsidRDefault="007F3E43" w:rsidP="007F3E43">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0EF35959" w14:textId="77777777" w:rsidR="007F3E43" w:rsidRPr="00877DF1" w:rsidRDefault="007F3E43" w:rsidP="007F3E43">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28B77656" w14:textId="77777777" w:rsidR="007F3E43" w:rsidRPr="00877DF1" w:rsidRDefault="007F3E43" w:rsidP="007F3E43">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21439444" w14:textId="77777777" w:rsidR="007F3E43" w:rsidRPr="00877DF1" w:rsidRDefault="007F3E43" w:rsidP="007F3E43">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389BB212" w14:textId="77777777" w:rsidR="007F3E43" w:rsidRPr="00877DF1" w:rsidRDefault="007F3E43" w:rsidP="007F3E43">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80B2D50" w14:textId="77777777" w:rsidR="007F3E43" w:rsidRPr="00877DF1" w:rsidRDefault="007F3E43" w:rsidP="007F3E43">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1A2E25" w:rsidRPr="00595D49" w14:paraId="7E64740C" w14:textId="77777777" w:rsidTr="007F3E43">
        <w:tc>
          <w:tcPr>
            <w:tcW w:w="1148" w:type="dxa"/>
          </w:tcPr>
          <w:p w14:paraId="05DECF45" w14:textId="2CFB149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二</w:t>
            </w:r>
            <w:r w:rsidRPr="004C06FD">
              <w:rPr>
                <w:spacing w:val="0"/>
                <w:sz w:val="20"/>
                <w:lang w:val="en-GB"/>
              </w:rPr>
              <w:t>零二</w:t>
            </w:r>
            <w:r w:rsidRPr="004C06FD">
              <w:rPr>
                <w:spacing w:val="0"/>
                <w:sz w:val="20"/>
                <w:lang w:val="en-GB" w:eastAsia="zh-HK"/>
              </w:rPr>
              <w:t>四</w:t>
            </w:r>
            <w:r w:rsidRPr="004C06FD">
              <w:rPr>
                <w:spacing w:val="0"/>
                <w:sz w:val="20"/>
                <w:lang w:val="en-GB"/>
              </w:rPr>
              <w:t>年</w:t>
            </w:r>
          </w:p>
        </w:tc>
        <w:tc>
          <w:tcPr>
            <w:tcW w:w="830" w:type="dxa"/>
          </w:tcPr>
          <w:p w14:paraId="4FC22AF6" w14:textId="3751A84B"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全年</w:t>
            </w:r>
          </w:p>
        </w:tc>
        <w:tc>
          <w:tcPr>
            <w:tcW w:w="885" w:type="dxa"/>
            <w:tcBorders>
              <w:top w:val="nil"/>
              <w:left w:val="nil"/>
              <w:bottom w:val="nil"/>
              <w:right w:val="nil"/>
            </w:tcBorders>
            <w:shd w:val="clear" w:color="auto" w:fill="auto"/>
            <w:vAlign w:val="center"/>
          </w:tcPr>
          <w:p w14:paraId="66F6EF3D" w14:textId="1790852C"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-1.5</w:t>
            </w:r>
          </w:p>
        </w:tc>
        <w:tc>
          <w:tcPr>
            <w:tcW w:w="886" w:type="dxa"/>
            <w:tcBorders>
              <w:top w:val="nil"/>
              <w:left w:val="nil"/>
              <w:bottom w:val="nil"/>
              <w:right w:val="nil"/>
            </w:tcBorders>
            <w:shd w:val="clear" w:color="auto" w:fill="auto"/>
            <w:vAlign w:val="center"/>
          </w:tcPr>
          <w:p w14:paraId="2A44E921" w14:textId="3DEBD585"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-0.8</w:t>
            </w:r>
          </w:p>
        </w:tc>
        <w:tc>
          <w:tcPr>
            <w:tcW w:w="886" w:type="dxa"/>
            <w:tcBorders>
              <w:top w:val="nil"/>
              <w:left w:val="nil"/>
              <w:bottom w:val="nil"/>
              <w:right w:val="nil"/>
            </w:tcBorders>
            <w:shd w:val="clear" w:color="auto" w:fill="auto"/>
            <w:vAlign w:val="center"/>
          </w:tcPr>
          <w:p w14:paraId="30B05508" w14:textId="78533DFE"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-11.2</w:t>
            </w:r>
          </w:p>
        </w:tc>
        <w:tc>
          <w:tcPr>
            <w:tcW w:w="886" w:type="dxa"/>
            <w:tcBorders>
              <w:top w:val="nil"/>
              <w:left w:val="nil"/>
              <w:bottom w:val="nil"/>
              <w:right w:val="nil"/>
            </w:tcBorders>
            <w:shd w:val="clear" w:color="auto" w:fill="auto"/>
            <w:vAlign w:val="center"/>
          </w:tcPr>
          <w:p w14:paraId="77BAD6AA" w14:textId="031EFBAC"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-11.5</w:t>
            </w:r>
          </w:p>
        </w:tc>
        <w:tc>
          <w:tcPr>
            <w:tcW w:w="886" w:type="dxa"/>
            <w:tcBorders>
              <w:top w:val="nil"/>
              <w:left w:val="nil"/>
              <w:bottom w:val="nil"/>
              <w:right w:val="nil"/>
            </w:tcBorders>
            <w:shd w:val="clear" w:color="auto" w:fill="auto"/>
            <w:vAlign w:val="center"/>
          </w:tcPr>
          <w:p w14:paraId="55CA31E4" w14:textId="4617134A"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2.6</w:t>
            </w:r>
          </w:p>
        </w:tc>
        <w:tc>
          <w:tcPr>
            <w:tcW w:w="886" w:type="dxa"/>
            <w:tcBorders>
              <w:top w:val="nil"/>
              <w:left w:val="nil"/>
              <w:bottom w:val="nil"/>
              <w:right w:val="nil"/>
            </w:tcBorders>
            <w:shd w:val="clear" w:color="auto" w:fill="auto"/>
            <w:vAlign w:val="center"/>
          </w:tcPr>
          <w:p w14:paraId="48E8D4AA" w14:textId="41574695"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27.2</w:t>
            </w:r>
          </w:p>
        </w:tc>
        <w:tc>
          <w:tcPr>
            <w:tcW w:w="886" w:type="dxa"/>
            <w:tcBorders>
              <w:top w:val="nil"/>
              <w:left w:val="nil"/>
              <w:bottom w:val="nil"/>
              <w:right w:val="nil"/>
            </w:tcBorders>
            <w:shd w:val="clear" w:color="auto" w:fill="auto"/>
            <w:vAlign w:val="center"/>
          </w:tcPr>
          <w:p w14:paraId="2733599F" w14:textId="25CFCB4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7.3</w:t>
            </w:r>
          </w:p>
        </w:tc>
        <w:tc>
          <w:tcPr>
            <w:tcW w:w="886" w:type="dxa"/>
            <w:tcBorders>
              <w:top w:val="nil"/>
              <w:left w:val="nil"/>
              <w:bottom w:val="nil"/>
              <w:right w:val="nil"/>
            </w:tcBorders>
            <w:shd w:val="clear" w:color="auto" w:fill="auto"/>
            <w:vAlign w:val="center"/>
          </w:tcPr>
          <w:p w14:paraId="7801F6C2" w14:textId="0567C6A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-0.2</w:t>
            </w:r>
          </w:p>
        </w:tc>
      </w:tr>
      <w:tr w:rsidR="001A2E25" w:rsidRPr="00595D49" w14:paraId="1F0DFE04" w14:textId="77777777" w:rsidTr="007F3E43">
        <w:tc>
          <w:tcPr>
            <w:tcW w:w="1148" w:type="dxa"/>
          </w:tcPr>
          <w:p w14:paraId="6EC4EF10" w14:textId="7777777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41418A6" w14:textId="52B20B01"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上半年</w:t>
            </w:r>
          </w:p>
        </w:tc>
        <w:tc>
          <w:tcPr>
            <w:tcW w:w="885" w:type="dxa"/>
            <w:tcBorders>
              <w:top w:val="nil"/>
              <w:left w:val="nil"/>
              <w:bottom w:val="nil"/>
              <w:right w:val="nil"/>
            </w:tcBorders>
            <w:shd w:val="clear" w:color="auto" w:fill="auto"/>
            <w:vAlign w:val="center"/>
          </w:tcPr>
          <w:p w14:paraId="62025811" w14:textId="100C6DFA"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-1.6</w:t>
            </w:r>
          </w:p>
        </w:tc>
        <w:tc>
          <w:tcPr>
            <w:tcW w:w="886" w:type="dxa"/>
            <w:tcBorders>
              <w:top w:val="nil"/>
              <w:left w:val="nil"/>
              <w:bottom w:val="nil"/>
              <w:right w:val="nil"/>
            </w:tcBorders>
            <w:shd w:val="clear" w:color="auto" w:fill="auto"/>
            <w:vAlign w:val="center"/>
          </w:tcPr>
          <w:p w14:paraId="0EF9741F" w14:textId="07BC8CCD"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-2.8</w:t>
            </w:r>
          </w:p>
        </w:tc>
        <w:tc>
          <w:tcPr>
            <w:tcW w:w="886" w:type="dxa"/>
            <w:tcBorders>
              <w:top w:val="nil"/>
              <w:left w:val="nil"/>
              <w:bottom w:val="nil"/>
              <w:right w:val="nil"/>
            </w:tcBorders>
            <w:shd w:val="clear" w:color="auto" w:fill="auto"/>
            <w:vAlign w:val="center"/>
          </w:tcPr>
          <w:p w14:paraId="12E88AFA" w14:textId="28A62B46"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-10.3</w:t>
            </w:r>
          </w:p>
        </w:tc>
        <w:tc>
          <w:tcPr>
            <w:tcW w:w="886" w:type="dxa"/>
            <w:tcBorders>
              <w:top w:val="nil"/>
              <w:left w:val="nil"/>
              <w:bottom w:val="nil"/>
              <w:right w:val="nil"/>
            </w:tcBorders>
            <w:shd w:val="clear" w:color="auto" w:fill="auto"/>
            <w:vAlign w:val="center"/>
          </w:tcPr>
          <w:p w14:paraId="7E2857C2" w14:textId="16B286BE"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-10.0</w:t>
            </w:r>
          </w:p>
        </w:tc>
        <w:tc>
          <w:tcPr>
            <w:tcW w:w="886" w:type="dxa"/>
            <w:tcBorders>
              <w:top w:val="nil"/>
              <w:left w:val="nil"/>
              <w:bottom w:val="nil"/>
              <w:right w:val="nil"/>
            </w:tcBorders>
            <w:shd w:val="clear" w:color="auto" w:fill="auto"/>
            <w:vAlign w:val="center"/>
          </w:tcPr>
          <w:p w14:paraId="6CBB9D7E" w14:textId="2EA4F2F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2.1</w:t>
            </w:r>
          </w:p>
        </w:tc>
        <w:tc>
          <w:tcPr>
            <w:tcW w:w="886" w:type="dxa"/>
            <w:tcBorders>
              <w:top w:val="nil"/>
              <w:left w:val="nil"/>
              <w:bottom w:val="nil"/>
              <w:right w:val="nil"/>
            </w:tcBorders>
            <w:shd w:val="clear" w:color="auto" w:fill="auto"/>
            <w:vAlign w:val="center"/>
          </w:tcPr>
          <w:p w14:paraId="7495D9E4" w14:textId="3E1E9EE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39.3</w:t>
            </w:r>
          </w:p>
        </w:tc>
        <w:tc>
          <w:tcPr>
            <w:tcW w:w="886" w:type="dxa"/>
            <w:tcBorders>
              <w:top w:val="nil"/>
              <w:left w:val="nil"/>
              <w:bottom w:val="nil"/>
              <w:right w:val="nil"/>
            </w:tcBorders>
            <w:shd w:val="clear" w:color="auto" w:fill="auto"/>
            <w:vAlign w:val="center"/>
          </w:tcPr>
          <w:p w14:paraId="33D4E80E" w14:textId="2E11AC1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13.9</w:t>
            </w:r>
          </w:p>
        </w:tc>
        <w:tc>
          <w:tcPr>
            <w:tcW w:w="886" w:type="dxa"/>
            <w:tcBorders>
              <w:top w:val="nil"/>
              <w:left w:val="nil"/>
              <w:bottom w:val="nil"/>
              <w:right w:val="nil"/>
            </w:tcBorders>
            <w:shd w:val="clear" w:color="auto" w:fill="auto"/>
            <w:vAlign w:val="center"/>
          </w:tcPr>
          <w:p w14:paraId="09D72E0A" w14:textId="44048C5E"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-0.1</w:t>
            </w:r>
          </w:p>
        </w:tc>
      </w:tr>
      <w:tr w:rsidR="001A2E25" w:rsidRPr="00595D49" w14:paraId="192A37EB" w14:textId="77777777" w:rsidTr="007F3E43">
        <w:tc>
          <w:tcPr>
            <w:tcW w:w="1148" w:type="dxa"/>
          </w:tcPr>
          <w:p w14:paraId="76D6A4C2" w14:textId="7777777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37BA75B" w14:textId="135D0354"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下半年</w:t>
            </w:r>
          </w:p>
        </w:tc>
        <w:tc>
          <w:tcPr>
            <w:tcW w:w="885" w:type="dxa"/>
            <w:tcBorders>
              <w:top w:val="nil"/>
              <w:left w:val="nil"/>
              <w:bottom w:val="nil"/>
              <w:right w:val="nil"/>
            </w:tcBorders>
            <w:shd w:val="clear" w:color="auto" w:fill="auto"/>
            <w:vAlign w:val="center"/>
          </w:tcPr>
          <w:p w14:paraId="59D011B8" w14:textId="2A6EFA1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-1.4</w:t>
            </w:r>
          </w:p>
        </w:tc>
        <w:tc>
          <w:tcPr>
            <w:tcW w:w="886" w:type="dxa"/>
            <w:tcBorders>
              <w:top w:val="nil"/>
              <w:left w:val="nil"/>
              <w:bottom w:val="nil"/>
              <w:right w:val="nil"/>
            </w:tcBorders>
            <w:shd w:val="clear" w:color="auto" w:fill="auto"/>
            <w:vAlign w:val="center"/>
          </w:tcPr>
          <w:p w14:paraId="1E449A82" w14:textId="7BF9E017" w:rsidR="001A2E25" w:rsidRPr="00BE566E" w:rsidRDefault="001A2E25" w:rsidP="001A2E25">
            <w:pPr>
              <w:pStyle w:val="5"/>
              <w:tabs>
                <w:tab w:val="decimal" w:pos="225"/>
                <w:tab w:val="decimal" w:pos="303"/>
              </w:tabs>
              <w:adjustRightInd w:val="0"/>
              <w:spacing w:line="320" w:lineRule="atLeast"/>
              <w:ind w:left="0" w:rightChars="-35" w:right="-105"/>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1.3</w:t>
            </w:r>
          </w:p>
        </w:tc>
        <w:tc>
          <w:tcPr>
            <w:tcW w:w="886" w:type="dxa"/>
            <w:tcBorders>
              <w:top w:val="nil"/>
              <w:left w:val="nil"/>
              <w:bottom w:val="nil"/>
              <w:right w:val="nil"/>
            </w:tcBorders>
            <w:shd w:val="clear" w:color="auto" w:fill="auto"/>
            <w:vAlign w:val="center"/>
          </w:tcPr>
          <w:p w14:paraId="48E83ED3" w14:textId="52E9061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-12.1</w:t>
            </w:r>
          </w:p>
        </w:tc>
        <w:tc>
          <w:tcPr>
            <w:tcW w:w="886" w:type="dxa"/>
            <w:tcBorders>
              <w:top w:val="nil"/>
              <w:left w:val="nil"/>
              <w:bottom w:val="nil"/>
              <w:right w:val="nil"/>
            </w:tcBorders>
            <w:shd w:val="clear" w:color="auto" w:fill="auto"/>
            <w:vAlign w:val="center"/>
          </w:tcPr>
          <w:p w14:paraId="10BEF714" w14:textId="619B3FF6"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-13.0</w:t>
            </w:r>
          </w:p>
        </w:tc>
        <w:tc>
          <w:tcPr>
            <w:tcW w:w="886" w:type="dxa"/>
            <w:tcBorders>
              <w:top w:val="nil"/>
              <w:left w:val="nil"/>
              <w:bottom w:val="nil"/>
              <w:right w:val="nil"/>
            </w:tcBorders>
            <w:shd w:val="clear" w:color="auto" w:fill="auto"/>
            <w:vAlign w:val="center"/>
          </w:tcPr>
          <w:p w14:paraId="09196641" w14:textId="1F201025"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3.0</w:t>
            </w:r>
          </w:p>
        </w:tc>
        <w:tc>
          <w:tcPr>
            <w:tcW w:w="886" w:type="dxa"/>
            <w:tcBorders>
              <w:top w:val="nil"/>
              <w:left w:val="nil"/>
              <w:bottom w:val="nil"/>
              <w:right w:val="nil"/>
            </w:tcBorders>
            <w:shd w:val="clear" w:color="auto" w:fill="auto"/>
            <w:vAlign w:val="center"/>
          </w:tcPr>
          <w:p w14:paraId="2E7470A1" w14:textId="32153E2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17.5</w:t>
            </w:r>
          </w:p>
        </w:tc>
        <w:tc>
          <w:tcPr>
            <w:tcW w:w="886" w:type="dxa"/>
            <w:tcBorders>
              <w:top w:val="nil"/>
              <w:left w:val="nil"/>
              <w:bottom w:val="nil"/>
              <w:right w:val="nil"/>
            </w:tcBorders>
            <w:shd w:val="clear" w:color="auto" w:fill="auto"/>
            <w:vAlign w:val="center"/>
          </w:tcPr>
          <w:p w14:paraId="44119FFD" w14:textId="65144F9B"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1.7</w:t>
            </w:r>
          </w:p>
        </w:tc>
        <w:tc>
          <w:tcPr>
            <w:tcW w:w="886" w:type="dxa"/>
            <w:tcBorders>
              <w:top w:val="nil"/>
              <w:left w:val="nil"/>
              <w:bottom w:val="nil"/>
              <w:right w:val="nil"/>
            </w:tcBorders>
            <w:shd w:val="clear" w:color="auto" w:fill="auto"/>
            <w:vAlign w:val="center"/>
          </w:tcPr>
          <w:p w14:paraId="73337C08" w14:textId="241F0CC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-0.2</w:t>
            </w:r>
          </w:p>
        </w:tc>
      </w:tr>
      <w:tr w:rsidR="001A2E25" w:rsidRPr="00595D49" w14:paraId="7786523B" w14:textId="77777777" w:rsidTr="007F3E43">
        <w:tc>
          <w:tcPr>
            <w:tcW w:w="1148" w:type="dxa"/>
          </w:tcPr>
          <w:p w14:paraId="00AB8A52" w14:textId="7777777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FE62765" w14:textId="770D8CBA" w:rsidR="001A2E25" w:rsidRPr="004C06FD"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第一季</w:t>
            </w:r>
          </w:p>
        </w:tc>
        <w:tc>
          <w:tcPr>
            <w:tcW w:w="885" w:type="dxa"/>
            <w:tcBorders>
              <w:top w:val="nil"/>
              <w:left w:val="nil"/>
              <w:bottom w:val="nil"/>
              <w:right w:val="nil"/>
            </w:tcBorders>
            <w:shd w:val="clear" w:color="auto" w:fill="auto"/>
            <w:vAlign w:val="center"/>
          </w:tcPr>
          <w:p w14:paraId="4B822758" w14:textId="0DBDF65A"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0.7</w:t>
            </w:r>
          </w:p>
        </w:tc>
        <w:tc>
          <w:tcPr>
            <w:tcW w:w="886" w:type="dxa"/>
            <w:tcBorders>
              <w:top w:val="nil"/>
              <w:left w:val="nil"/>
              <w:bottom w:val="nil"/>
              <w:right w:val="nil"/>
            </w:tcBorders>
            <w:shd w:val="clear" w:color="auto" w:fill="auto"/>
            <w:vAlign w:val="center"/>
          </w:tcPr>
          <w:p w14:paraId="5B2C39E7" w14:textId="697AFFA7"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-1.8</w:t>
            </w:r>
          </w:p>
        </w:tc>
        <w:tc>
          <w:tcPr>
            <w:tcW w:w="886" w:type="dxa"/>
            <w:tcBorders>
              <w:top w:val="nil"/>
              <w:left w:val="nil"/>
              <w:bottom w:val="nil"/>
              <w:right w:val="nil"/>
            </w:tcBorders>
            <w:shd w:val="clear" w:color="auto" w:fill="auto"/>
            <w:vAlign w:val="center"/>
          </w:tcPr>
          <w:p w14:paraId="4AB63214" w14:textId="7DA66275"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-8.6</w:t>
            </w:r>
          </w:p>
        </w:tc>
        <w:tc>
          <w:tcPr>
            <w:tcW w:w="886" w:type="dxa"/>
            <w:tcBorders>
              <w:top w:val="nil"/>
              <w:left w:val="nil"/>
              <w:bottom w:val="nil"/>
              <w:right w:val="nil"/>
            </w:tcBorders>
            <w:shd w:val="clear" w:color="auto" w:fill="auto"/>
            <w:vAlign w:val="center"/>
          </w:tcPr>
          <w:p w14:paraId="4AABF6F7" w14:textId="174FE3D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0.4</w:t>
            </w:r>
          </w:p>
        </w:tc>
        <w:tc>
          <w:tcPr>
            <w:tcW w:w="886" w:type="dxa"/>
            <w:tcBorders>
              <w:top w:val="nil"/>
              <w:left w:val="nil"/>
              <w:bottom w:val="nil"/>
              <w:right w:val="nil"/>
            </w:tcBorders>
            <w:shd w:val="clear" w:color="auto" w:fill="auto"/>
            <w:vAlign w:val="center"/>
          </w:tcPr>
          <w:p w14:paraId="422E496E" w14:textId="2A44B4C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2.4</w:t>
            </w:r>
          </w:p>
        </w:tc>
        <w:tc>
          <w:tcPr>
            <w:tcW w:w="886" w:type="dxa"/>
            <w:tcBorders>
              <w:top w:val="nil"/>
              <w:left w:val="nil"/>
              <w:bottom w:val="nil"/>
              <w:right w:val="nil"/>
            </w:tcBorders>
            <w:shd w:val="clear" w:color="auto" w:fill="auto"/>
            <w:vAlign w:val="center"/>
          </w:tcPr>
          <w:p w14:paraId="04C3E9CA" w14:textId="02C4C77A"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59.2</w:t>
            </w:r>
          </w:p>
        </w:tc>
        <w:tc>
          <w:tcPr>
            <w:tcW w:w="886" w:type="dxa"/>
            <w:tcBorders>
              <w:top w:val="nil"/>
              <w:left w:val="nil"/>
              <w:bottom w:val="nil"/>
              <w:right w:val="nil"/>
            </w:tcBorders>
            <w:shd w:val="clear" w:color="auto" w:fill="auto"/>
            <w:vAlign w:val="center"/>
          </w:tcPr>
          <w:p w14:paraId="6AECA247" w14:textId="7C05872D"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41.4</w:t>
            </w:r>
          </w:p>
        </w:tc>
        <w:tc>
          <w:tcPr>
            <w:tcW w:w="886" w:type="dxa"/>
            <w:tcBorders>
              <w:top w:val="nil"/>
              <w:left w:val="nil"/>
              <w:bottom w:val="nil"/>
              <w:right w:val="nil"/>
            </w:tcBorders>
            <w:shd w:val="clear" w:color="auto" w:fill="auto"/>
            <w:vAlign w:val="center"/>
          </w:tcPr>
          <w:p w14:paraId="131A6AF7" w14:textId="0C3F26A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1.4</w:t>
            </w:r>
          </w:p>
        </w:tc>
      </w:tr>
      <w:tr w:rsidR="001A2E25" w:rsidRPr="00595D49" w14:paraId="6575B2D3" w14:textId="77777777" w:rsidTr="007F3E43">
        <w:tc>
          <w:tcPr>
            <w:tcW w:w="1148" w:type="dxa"/>
          </w:tcPr>
          <w:p w14:paraId="411D0749" w14:textId="7777777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1AD519E" w14:textId="6F5A3F43" w:rsidR="001A2E25" w:rsidRPr="004C06FD"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第二季</w:t>
            </w:r>
          </w:p>
        </w:tc>
        <w:tc>
          <w:tcPr>
            <w:tcW w:w="885" w:type="dxa"/>
            <w:tcBorders>
              <w:top w:val="nil"/>
              <w:left w:val="nil"/>
              <w:bottom w:val="nil"/>
              <w:right w:val="nil"/>
            </w:tcBorders>
            <w:shd w:val="clear" w:color="auto" w:fill="auto"/>
            <w:vAlign w:val="center"/>
          </w:tcPr>
          <w:p w14:paraId="4120C28F" w14:textId="3659A01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-3.8</w:t>
            </w:r>
          </w:p>
        </w:tc>
        <w:tc>
          <w:tcPr>
            <w:tcW w:w="886" w:type="dxa"/>
            <w:tcBorders>
              <w:top w:val="nil"/>
              <w:left w:val="nil"/>
              <w:bottom w:val="nil"/>
              <w:right w:val="nil"/>
            </w:tcBorders>
            <w:shd w:val="clear" w:color="auto" w:fill="auto"/>
            <w:vAlign w:val="center"/>
          </w:tcPr>
          <w:p w14:paraId="20D4CF94" w14:textId="18134ECC"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-3.7</w:t>
            </w:r>
          </w:p>
        </w:tc>
        <w:tc>
          <w:tcPr>
            <w:tcW w:w="886" w:type="dxa"/>
            <w:tcBorders>
              <w:top w:val="nil"/>
              <w:left w:val="nil"/>
              <w:bottom w:val="nil"/>
              <w:right w:val="nil"/>
            </w:tcBorders>
            <w:shd w:val="clear" w:color="auto" w:fill="auto"/>
            <w:vAlign w:val="center"/>
          </w:tcPr>
          <w:p w14:paraId="1F2C1C43" w14:textId="417B484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-12.3</w:t>
            </w:r>
          </w:p>
        </w:tc>
        <w:tc>
          <w:tcPr>
            <w:tcW w:w="886" w:type="dxa"/>
            <w:tcBorders>
              <w:top w:val="nil"/>
              <w:left w:val="nil"/>
              <w:bottom w:val="nil"/>
              <w:right w:val="nil"/>
            </w:tcBorders>
            <w:shd w:val="clear" w:color="auto" w:fill="auto"/>
            <w:vAlign w:val="center"/>
          </w:tcPr>
          <w:p w14:paraId="7A44F25B" w14:textId="1CAF332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-18.7</w:t>
            </w:r>
          </w:p>
        </w:tc>
        <w:tc>
          <w:tcPr>
            <w:tcW w:w="886" w:type="dxa"/>
            <w:tcBorders>
              <w:top w:val="nil"/>
              <w:left w:val="nil"/>
              <w:bottom w:val="nil"/>
              <w:right w:val="nil"/>
            </w:tcBorders>
            <w:shd w:val="clear" w:color="auto" w:fill="auto"/>
            <w:vAlign w:val="center"/>
          </w:tcPr>
          <w:p w14:paraId="421279DB" w14:textId="070E4F3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1.9</w:t>
            </w:r>
          </w:p>
        </w:tc>
        <w:tc>
          <w:tcPr>
            <w:tcW w:w="886" w:type="dxa"/>
            <w:tcBorders>
              <w:top w:val="nil"/>
              <w:left w:val="nil"/>
              <w:bottom w:val="nil"/>
              <w:right w:val="nil"/>
            </w:tcBorders>
            <w:shd w:val="clear" w:color="auto" w:fill="auto"/>
            <w:vAlign w:val="center"/>
          </w:tcPr>
          <w:p w14:paraId="59D99681" w14:textId="1ADAD97C"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23.8</w:t>
            </w:r>
          </w:p>
        </w:tc>
        <w:tc>
          <w:tcPr>
            <w:tcW w:w="886" w:type="dxa"/>
            <w:tcBorders>
              <w:top w:val="nil"/>
              <w:left w:val="nil"/>
              <w:bottom w:val="nil"/>
              <w:right w:val="nil"/>
            </w:tcBorders>
            <w:shd w:val="clear" w:color="auto" w:fill="auto"/>
            <w:vAlign w:val="center"/>
          </w:tcPr>
          <w:p w14:paraId="0B6FCBCD" w14:textId="2DD1FA5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-8.6</w:t>
            </w:r>
          </w:p>
        </w:tc>
        <w:tc>
          <w:tcPr>
            <w:tcW w:w="886" w:type="dxa"/>
            <w:tcBorders>
              <w:top w:val="nil"/>
              <w:left w:val="nil"/>
              <w:bottom w:val="nil"/>
              <w:right w:val="nil"/>
            </w:tcBorders>
            <w:shd w:val="clear" w:color="auto" w:fill="auto"/>
            <w:vAlign w:val="center"/>
          </w:tcPr>
          <w:p w14:paraId="5AEA3164" w14:textId="3F16F25A"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-1.5</w:t>
            </w:r>
          </w:p>
        </w:tc>
      </w:tr>
      <w:tr w:rsidR="001A2E25" w:rsidRPr="00595D49" w14:paraId="671B3ED0" w14:textId="77777777" w:rsidTr="007F3E43">
        <w:tc>
          <w:tcPr>
            <w:tcW w:w="1148" w:type="dxa"/>
          </w:tcPr>
          <w:p w14:paraId="4A5FC4CA" w14:textId="7777777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570D53D2" w14:textId="1B458C6A" w:rsidR="001A2E25" w:rsidRPr="004C06FD"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第三季</w:t>
            </w:r>
          </w:p>
        </w:tc>
        <w:tc>
          <w:tcPr>
            <w:tcW w:w="885" w:type="dxa"/>
            <w:tcBorders>
              <w:top w:val="nil"/>
              <w:left w:val="nil"/>
              <w:bottom w:val="nil"/>
              <w:right w:val="nil"/>
            </w:tcBorders>
            <w:shd w:val="clear" w:color="auto" w:fill="auto"/>
            <w:vAlign w:val="center"/>
          </w:tcPr>
          <w:p w14:paraId="35558258" w14:textId="6424997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-2.4</w:t>
            </w:r>
          </w:p>
        </w:tc>
        <w:tc>
          <w:tcPr>
            <w:tcW w:w="886" w:type="dxa"/>
            <w:tcBorders>
              <w:top w:val="nil"/>
              <w:left w:val="nil"/>
              <w:bottom w:val="nil"/>
              <w:right w:val="nil"/>
            </w:tcBorders>
            <w:shd w:val="clear" w:color="auto" w:fill="auto"/>
            <w:vAlign w:val="center"/>
          </w:tcPr>
          <w:p w14:paraId="2C7648C1" w14:textId="2D564605"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0.8</w:t>
            </w:r>
          </w:p>
        </w:tc>
        <w:tc>
          <w:tcPr>
            <w:tcW w:w="886" w:type="dxa"/>
            <w:tcBorders>
              <w:top w:val="nil"/>
              <w:left w:val="nil"/>
              <w:bottom w:val="nil"/>
              <w:right w:val="nil"/>
            </w:tcBorders>
            <w:shd w:val="clear" w:color="auto" w:fill="auto"/>
            <w:vAlign w:val="center"/>
          </w:tcPr>
          <w:p w14:paraId="50D1E556" w14:textId="74E4AFFB"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-14.1</w:t>
            </w:r>
          </w:p>
        </w:tc>
        <w:tc>
          <w:tcPr>
            <w:tcW w:w="886" w:type="dxa"/>
            <w:tcBorders>
              <w:top w:val="nil"/>
              <w:left w:val="nil"/>
              <w:bottom w:val="nil"/>
              <w:right w:val="nil"/>
            </w:tcBorders>
            <w:shd w:val="clear" w:color="auto" w:fill="auto"/>
            <w:vAlign w:val="center"/>
          </w:tcPr>
          <w:p w14:paraId="1F57EA30" w14:textId="2C50E5F0"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-15.6</w:t>
            </w:r>
          </w:p>
        </w:tc>
        <w:tc>
          <w:tcPr>
            <w:tcW w:w="886" w:type="dxa"/>
            <w:tcBorders>
              <w:top w:val="nil"/>
              <w:left w:val="nil"/>
              <w:bottom w:val="nil"/>
              <w:right w:val="nil"/>
            </w:tcBorders>
            <w:shd w:val="clear" w:color="auto" w:fill="auto"/>
            <w:vAlign w:val="center"/>
          </w:tcPr>
          <w:p w14:paraId="0ABFF407" w14:textId="1A50791F"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2.2</w:t>
            </w:r>
          </w:p>
        </w:tc>
        <w:tc>
          <w:tcPr>
            <w:tcW w:w="886" w:type="dxa"/>
            <w:tcBorders>
              <w:top w:val="nil"/>
              <w:left w:val="nil"/>
              <w:bottom w:val="nil"/>
              <w:right w:val="nil"/>
            </w:tcBorders>
            <w:shd w:val="clear" w:color="auto" w:fill="auto"/>
            <w:vAlign w:val="center"/>
          </w:tcPr>
          <w:p w14:paraId="01017A0D" w14:textId="614B8C5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19.2</w:t>
            </w:r>
          </w:p>
        </w:tc>
        <w:tc>
          <w:tcPr>
            <w:tcW w:w="886" w:type="dxa"/>
            <w:tcBorders>
              <w:top w:val="nil"/>
              <w:left w:val="nil"/>
              <w:bottom w:val="nil"/>
              <w:right w:val="nil"/>
            </w:tcBorders>
            <w:shd w:val="clear" w:color="auto" w:fill="auto"/>
            <w:vAlign w:val="center"/>
          </w:tcPr>
          <w:p w14:paraId="30B3FF78" w14:textId="48FB252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-3.1</w:t>
            </w:r>
          </w:p>
        </w:tc>
        <w:tc>
          <w:tcPr>
            <w:tcW w:w="886" w:type="dxa"/>
            <w:tcBorders>
              <w:top w:val="nil"/>
              <w:left w:val="nil"/>
              <w:bottom w:val="nil"/>
              <w:right w:val="nil"/>
            </w:tcBorders>
            <w:shd w:val="clear" w:color="auto" w:fill="auto"/>
            <w:vAlign w:val="center"/>
          </w:tcPr>
          <w:p w14:paraId="045C61A9" w14:textId="779CC68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-0.7</w:t>
            </w:r>
          </w:p>
        </w:tc>
      </w:tr>
      <w:tr w:rsidR="001A2E25" w:rsidRPr="00595D49" w14:paraId="2680946A" w14:textId="77777777" w:rsidTr="007F3E43">
        <w:tc>
          <w:tcPr>
            <w:tcW w:w="1148" w:type="dxa"/>
          </w:tcPr>
          <w:p w14:paraId="7BFE2C18" w14:textId="77777777"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60EE7E4B" w14:textId="2DCA6227" w:rsidR="001A2E25" w:rsidRPr="004C06FD"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4C06FD">
              <w:rPr>
                <w:bCs/>
                <w:spacing w:val="0"/>
                <w:sz w:val="20"/>
              </w:rPr>
              <w:t>第四季</w:t>
            </w:r>
          </w:p>
        </w:tc>
        <w:tc>
          <w:tcPr>
            <w:tcW w:w="885" w:type="dxa"/>
            <w:tcBorders>
              <w:top w:val="nil"/>
              <w:left w:val="nil"/>
              <w:bottom w:val="nil"/>
              <w:right w:val="nil"/>
            </w:tcBorders>
            <w:shd w:val="clear" w:color="auto" w:fill="auto"/>
            <w:vAlign w:val="center"/>
          </w:tcPr>
          <w:p w14:paraId="386FDA8A" w14:textId="3427E2C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-0.5</w:t>
            </w:r>
          </w:p>
        </w:tc>
        <w:tc>
          <w:tcPr>
            <w:tcW w:w="886" w:type="dxa"/>
            <w:tcBorders>
              <w:top w:val="nil"/>
              <w:left w:val="nil"/>
              <w:bottom w:val="nil"/>
              <w:right w:val="nil"/>
            </w:tcBorders>
            <w:shd w:val="clear" w:color="auto" w:fill="auto"/>
            <w:vAlign w:val="center"/>
          </w:tcPr>
          <w:p w14:paraId="361FAB10" w14:textId="416A3A24"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1.8</w:t>
            </w:r>
          </w:p>
        </w:tc>
        <w:tc>
          <w:tcPr>
            <w:tcW w:w="886" w:type="dxa"/>
            <w:tcBorders>
              <w:top w:val="nil"/>
              <w:left w:val="nil"/>
              <w:bottom w:val="nil"/>
              <w:right w:val="nil"/>
            </w:tcBorders>
            <w:shd w:val="clear" w:color="auto" w:fill="auto"/>
            <w:vAlign w:val="center"/>
          </w:tcPr>
          <w:p w14:paraId="77F250DD" w14:textId="369149C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-10.5</w:t>
            </w:r>
          </w:p>
        </w:tc>
        <w:tc>
          <w:tcPr>
            <w:tcW w:w="886" w:type="dxa"/>
            <w:tcBorders>
              <w:top w:val="nil"/>
              <w:left w:val="nil"/>
              <w:bottom w:val="nil"/>
              <w:right w:val="nil"/>
            </w:tcBorders>
            <w:shd w:val="clear" w:color="auto" w:fill="auto"/>
            <w:vAlign w:val="center"/>
          </w:tcPr>
          <w:p w14:paraId="26151623" w14:textId="689D601D"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-10.7</w:t>
            </w:r>
          </w:p>
        </w:tc>
        <w:tc>
          <w:tcPr>
            <w:tcW w:w="886" w:type="dxa"/>
            <w:tcBorders>
              <w:top w:val="nil"/>
              <w:left w:val="nil"/>
              <w:bottom w:val="nil"/>
              <w:right w:val="nil"/>
            </w:tcBorders>
            <w:shd w:val="clear" w:color="auto" w:fill="auto"/>
            <w:vAlign w:val="center"/>
          </w:tcPr>
          <w:p w14:paraId="11FF0D44" w14:textId="75D7094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3.8</w:t>
            </w:r>
          </w:p>
        </w:tc>
        <w:tc>
          <w:tcPr>
            <w:tcW w:w="886" w:type="dxa"/>
            <w:tcBorders>
              <w:top w:val="nil"/>
              <w:left w:val="nil"/>
              <w:bottom w:val="nil"/>
              <w:right w:val="nil"/>
            </w:tcBorders>
            <w:shd w:val="clear" w:color="auto" w:fill="auto"/>
            <w:vAlign w:val="center"/>
          </w:tcPr>
          <w:p w14:paraId="00ACA74C" w14:textId="5AF06AD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16.0</w:t>
            </w:r>
          </w:p>
        </w:tc>
        <w:tc>
          <w:tcPr>
            <w:tcW w:w="886" w:type="dxa"/>
            <w:tcBorders>
              <w:top w:val="nil"/>
              <w:left w:val="nil"/>
              <w:bottom w:val="nil"/>
              <w:right w:val="nil"/>
            </w:tcBorders>
            <w:shd w:val="clear" w:color="auto" w:fill="auto"/>
            <w:vAlign w:val="center"/>
          </w:tcPr>
          <w:p w14:paraId="7A9ACDEC" w14:textId="19572FA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6.1</w:t>
            </w:r>
          </w:p>
        </w:tc>
        <w:tc>
          <w:tcPr>
            <w:tcW w:w="886" w:type="dxa"/>
            <w:tcBorders>
              <w:top w:val="nil"/>
              <w:left w:val="nil"/>
              <w:bottom w:val="nil"/>
              <w:right w:val="nil"/>
            </w:tcBorders>
            <w:shd w:val="clear" w:color="auto" w:fill="auto"/>
            <w:vAlign w:val="center"/>
          </w:tcPr>
          <w:p w14:paraId="1FDAC33C" w14:textId="4985F8C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0.2</w:t>
            </w:r>
          </w:p>
        </w:tc>
      </w:tr>
      <w:tr w:rsidR="007F3E43" w:rsidRPr="00595D49" w14:paraId="24DBE8EF" w14:textId="77777777" w:rsidTr="007F3E43">
        <w:tc>
          <w:tcPr>
            <w:tcW w:w="1148" w:type="dxa"/>
          </w:tcPr>
          <w:p w14:paraId="577D01C2" w14:textId="77777777" w:rsidR="007F3E43" w:rsidRPr="00595D49" w:rsidRDefault="007F3E43" w:rsidP="007F3E43">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71B94A36" w14:textId="77777777" w:rsidR="007F3E43" w:rsidRPr="004C06FD" w:rsidRDefault="007F3E43" w:rsidP="007F3E43">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tcBorders>
              <w:top w:val="nil"/>
              <w:left w:val="nil"/>
              <w:bottom w:val="nil"/>
              <w:right w:val="nil"/>
            </w:tcBorders>
            <w:shd w:val="clear" w:color="auto" w:fill="auto"/>
          </w:tcPr>
          <w:p w14:paraId="6C60F88B"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rPr>
            </w:pPr>
          </w:p>
        </w:tc>
        <w:tc>
          <w:tcPr>
            <w:tcW w:w="886" w:type="dxa"/>
            <w:tcBorders>
              <w:top w:val="nil"/>
              <w:left w:val="nil"/>
              <w:bottom w:val="nil"/>
              <w:right w:val="nil"/>
            </w:tcBorders>
            <w:shd w:val="clear" w:color="auto" w:fill="auto"/>
            <w:vAlign w:val="center"/>
          </w:tcPr>
          <w:p w14:paraId="5F2BE14F" w14:textId="77777777" w:rsidR="007F3E43" w:rsidRPr="00BE566E" w:rsidRDefault="007F3E43" w:rsidP="007F3E43">
            <w:pPr>
              <w:pStyle w:val="5"/>
              <w:tabs>
                <w:tab w:val="decimal" w:pos="225"/>
                <w:tab w:val="decimal" w:pos="303"/>
              </w:tabs>
              <w:adjustRightInd w:val="0"/>
              <w:spacing w:line="320" w:lineRule="atLeast"/>
              <w:ind w:left="0" w:right="0"/>
              <w:rPr>
                <w:rFonts w:ascii="Times New Roman"/>
                <w:kern w:val="0"/>
                <w:sz w:val="22"/>
                <w:szCs w:val="22"/>
                <w:u w:val="none"/>
                <w:lang w:val="en-GB" w:eastAsia="zh-HK"/>
              </w:rPr>
            </w:pPr>
          </w:p>
        </w:tc>
        <w:tc>
          <w:tcPr>
            <w:tcW w:w="886" w:type="dxa"/>
            <w:tcBorders>
              <w:top w:val="nil"/>
              <w:left w:val="nil"/>
              <w:bottom w:val="nil"/>
              <w:right w:val="nil"/>
            </w:tcBorders>
            <w:shd w:val="clear" w:color="auto" w:fill="auto"/>
            <w:vAlign w:val="center"/>
          </w:tcPr>
          <w:p w14:paraId="316F746F"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rPr>
            </w:pPr>
          </w:p>
        </w:tc>
        <w:tc>
          <w:tcPr>
            <w:tcW w:w="886" w:type="dxa"/>
            <w:tcBorders>
              <w:top w:val="nil"/>
              <w:left w:val="nil"/>
              <w:bottom w:val="nil"/>
              <w:right w:val="nil"/>
            </w:tcBorders>
            <w:shd w:val="clear" w:color="auto" w:fill="auto"/>
            <w:vAlign w:val="center"/>
          </w:tcPr>
          <w:p w14:paraId="1BD28CE9"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eastAsia="zh-HK"/>
              </w:rPr>
            </w:pPr>
          </w:p>
        </w:tc>
        <w:tc>
          <w:tcPr>
            <w:tcW w:w="886" w:type="dxa"/>
            <w:tcBorders>
              <w:top w:val="nil"/>
              <w:left w:val="nil"/>
              <w:bottom w:val="nil"/>
              <w:right w:val="nil"/>
            </w:tcBorders>
            <w:shd w:val="clear" w:color="auto" w:fill="auto"/>
            <w:vAlign w:val="center"/>
          </w:tcPr>
          <w:p w14:paraId="77747E2A"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eastAsia="zh-HK"/>
              </w:rPr>
            </w:pPr>
          </w:p>
        </w:tc>
        <w:tc>
          <w:tcPr>
            <w:tcW w:w="886" w:type="dxa"/>
            <w:tcBorders>
              <w:top w:val="nil"/>
              <w:left w:val="nil"/>
              <w:bottom w:val="nil"/>
              <w:right w:val="nil"/>
            </w:tcBorders>
            <w:shd w:val="clear" w:color="auto" w:fill="auto"/>
            <w:vAlign w:val="center"/>
          </w:tcPr>
          <w:p w14:paraId="4B1901F3"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eastAsia="zh-HK"/>
              </w:rPr>
            </w:pPr>
          </w:p>
        </w:tc>
        <w:tc>
          <w:tcPr>
            <w:tcW w:w="886" w:type="dxa"/>
            <w:tcBorders>
              <w:top w:val="nil"/>
              <w:left w:val="nil"/>
              <w:bottom w:val="nil"/>
              <w:right w:val="nil"/>
            </w:tcBorders>
            <w:shd w:val="clear" w:color="auto" w:fill="auto"/>
            <w:vAlign w:val="center"/>
          </w:tcPr>
          <w:p w14:paraId="196CA850"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eastAsia="zh-HK"/>
              </w:rPr>
            </w:pPr>
          </w:p>
        </w:tc>
        <w:tc>
          <w:tcPr>
            <w:tcW w:w="886" w:type="dxa"/>
            <w:tcBorders>
              <w:top w:val="nil"/>
              <w:left w:val="nil"/>
              <w:bottom w:val="nil"/>
              <w:right w:val="nil"/>
            </w:tcBorders>
            <w:shd w:val="clear" w:color="auto" w:fill="auto"/>
            <w:vAlign w:val="center"/>
          </w:tcPr>
          <w:p w14:paraId="7881C127" w14:textId="77777777" w:rsidR="007F3E43" w:rsidRPr="00BE566E" w:rsidRDefault="007F3E43" w:rsidP="007F3E43">
            <w:pPr>
              <w:pStyle w:val="5"/>
              <w:tabs>
                <w:tab w:val="decimal" w:pos="303"/>
              </w:tabs>
              <w:adjustRightInd w:val="0"/>
              <w:spacing w:line="320" w:lineRule="atLeast"/>
              <w:ind w:left="0" w:right="0"/>
              <w:rPr>
                <w:rFonts w:ascii="Times New Roman"/>
                <w:kern w:val="0"/>
                <w:sz w:val="22"/>
                <w:szCs w:val="22"/>
                <w:u w:val="none"/>
                <w:lang w:val="en-GB" w:eastAsia="zh-HK"/>
              </w:rPr>
            </w:pPr>
          </w:p>
        </w:tc>
      </w:tr>
      <w:tr w:rsidR="001A2E25" w:rsidRPr="00595D49" w14:paraId="10E5CE32" w14:textId="77777777" w:rsidTr="007F3E43">
        <w:tc>
          <w:tcPr>
            <w:tcW w:w="1148" w:type="dxa"/>
          </w:tcPr>
          <w:p w14:paraId="6D22CF41" w14:textId="1046D4E1" w:rsidR="001A2E25" w:rsidRPr="00595D49"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二零二五年</w:t>
            </w:r>
          </w:p>
        </w:tc>
        <w:tc>
          <w:tcPr>
            <w:tcW w:w="830" w:type="dxa"/>
          </w:tcPr>
          <w:p w14:paraId="6B75DA56" w14:textId="0861828D" w:rsidR="001A2E25" w:rsidRPr="004C06FD"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全年</w:t>
            </w:r>
          </w:p>
        </w:tc>
        <w:tc>
          <w:tcPr>
            <w:tcW w:w="885" w:type="dxa"/>
            <w:tcBorders>
              <w:top w:val="nil"/>
              <w:left w:val="nil"/>
              <w:bottom w:val="nil"/>
              <w:right w:val="nil"/>
            </w:tcBorders>
            <w:shd w:val="clear" w:color="auto" w:fill="auto"/>
            <w:vAlign w:val="center"/>
          </w:tcPr>
          <w:p w14:paraId="2345FA79" w14:textId="4639001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2.2</w:t>
            </w:r>
          </w:p>
        </w:tc>
        <w:tc>
          <w:tcPr>
            <w:tcW w:w="886" w:type="dxa"/>
            <w:tcBorders>
              <w:top w:val="nil"/>
              <w:left w:val="nil"/>
              <w:bottom w:val="nil"/>
              <w:right w:val="nil"/>
            </w:tcBorders>
            <w:shd w:val="clear" w:color="auto" w:fill="auto"/>
            <w:vAlign w:val="center"/>
          </w:tcPr>
          <w:p w14:paraId="4EA6B6B8" w14:textId="18FC674C"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-0.1</w:t>
            </w:r>
          </w:p>
        </w:tc>
        <w:tc>
          <w:tcPr>
            <w:tcW w:w="886" w:type="dxa"/>
            <w:tcBorders>
              <w:top w:val="nil"/>
              <w:left w:val="nil"/>
              <w:bottom w:val="nil"/>
              <w:right w:val="nil"/>
            </w:tcBorders>
            <w:shd w:val="clear" w:color="auto" w:fill="auto"/>
            <w:vAlign w:val="center"/>
          </w:tcPr>
          <w:p w14:paraId="6CBC849C" w14:textId="55C2D40B"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3.7</w:t>
            </w:r>
          </w:p>
        </w:tc>
        <w:tc>
          <w:tcPr>
            <w:tcW w:w="886" w:type="dxa"/>
            <w:tcBorders>
              <w:top w:val="nil"/>
              <w:left w:val="nil"/>
              <w:bottom w:val="nil"/>
              <w:right w:val="nil"/>
            </w:tcBorders>
            <w:shd w:val="clear" w:color="auto" w:fill="auto"/>
            <w:vAlign w:val="center"/>
          </w:tcPr>
          <w:p w14:paraId="173857B9" w14:textId="6EAABBB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-0.5</w:t>
            </w:r>
          </w:p>
        </w:tc>
        <w:tc>
          <w:tcPr>
            <w:tcW w:w="886" w:type="dxa"/>
            <w:tcBorders>
              <w:top w:val="nil"/>
              <w:left w:val="nil"/>
              <w:bottom w:val="nil"/>
              <w:right w:val="nil"/>
            </w:tcBorders>
            <w:shd w:val="clear" w:color="auto" w:fill="auto"/>
            <w:vAlign w:val="center"/>
          </w:tcPr>
          <w:p w14:paraId="678A2235" w14:textId="5D16DCD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3.1</w:t>
            </w:r>
          </w:p>
        </w:tc>
        <w:tc>
          <w:tcPr>
            <w:tcW w:w="886" w:type="dxa"/>
            <w:tcBorders>
              <w:top w:val="nil"/>
              <w:left w:val="nil"/>
              <w:bottom w:val="nil"/>
              <w:right w:val="nil"/>
            </w:tcBorders>
            <w:shd w:val="clear" w:color="auto" w:fill="auto"/>
            <w:vAlign w:val="center"/>
          </w:tcPr>
          <w:p w14:paraId="394F2877" w14:textId="33ABF6F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3.2</w:t>
            </w:r>
          </w:p>
        </w:tc>
        <w:tc>
          <w:tcPr>
            <w:tcW w:w="886" w:type="dxa"/>
            <w:tcBorders>
              <w:top w:val="nil"/>
              <w:left w:val="nil"/>
              <w:bottom w:val="nil"/>
              <w:right w:val="nil"/>
            </w:tcBorders>
            <w:shd w:val="clear" w:color="auto" w:fill="auto"/>
            <w:vAlign w:val="center"/>
          </w:tcPr>
          <w:p w14:paraId="2CD03593" w14:textId="5AFF1E1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9.6</w:t>
            </w:r>
          </w:p>
        </w:tc>
        <w:tc>
          <w:tcPr>
            <w:tcW w:w="886" w:type="dxa"/>
            <w:tcBorders>
              <w:top w:val="nil"/>
              <w:left w:val="nil"/>
              <w:bottom w:val="nil"/>
              <w:right w:val="nil"/>
            </w:tcBorders>
            <w:shd w:val="clear" w:color="auto" w:fill="auto"/>
            <w:vAlign w:val="center"/>
          </w:tcPr>
          <w:p w14:paraId="4AA401CC" w14:textId="156F879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1.7</w:t>
            </w:r>
          </w:p>
        </w:tc>
      </w:tr>
      <w:tr w:rsidR="001A2E25" w:rsidRPr="00595D49" w14:paraId="76CFCB8B" w14:textId="77777777" w:rsidTr="007F3E43">
        <w:tc>
          <w:tcPr>
            <w:tcW w:w="1148" w:type="dxa"/>
          </w:tcPr>
          <w:p w14:paraId="2F67FF28" w14:textId="77777777"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3B4706E" w14:textId="1CC081A5"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上半年</w:t>
            </w:r>
          </w:p>
        </w:tc>
        <w:tc>
          <w:tcPr>
            <w:tcW w:w="885" w:type="dxa"/>
            <w:tcBorders>
              <w:top w:val="nil"/>
              <w:left w:val="nil"/>
              <w:bottom w:val="nil"/>
              <w:right w:val="nil"/>
            </w:tcBorders>
            <w:shd w:val="clear" w:color="auto" w:fill="auto"/>
            <w:vAlign w:val="center"/>
          </w:tcPr>
          <w:p w14:paraId="7C4A1010" w14:textId="7FBB9BE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1.2</w:t>
            </w:r>
          </w:p>
        </w:tc>
        <w:tc>
          <w:tcPr>
            <w:tcW w:w="886" w:type="dxa"/>
            <w:tcBorders>
              <w:top w:val="nil"/>
              <w:left w:val="nil"/>
              <w:bottom w:val="nil"/>
              <w:right w:val="nil"/>
            </w:tcBorders>
            <w:shd w:val="clear" w:color="auto" w:fill="auto"/>
            <w:vAlign w:val="center"/>
          </w:tcPr>
          <w:p w14:paraId="4057296D" w14:textId="7C799C6C" w:rsidR="001A2E25" w:rsidRPr="00BE566E" w:rsidRDefault="001A2E25" w:rsidP="001A2E25">
            <w:pPr>
              <w:pStyle w:val="5"/>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0.2</w:t>
            </w:r>
          </w:p>
        </w:tc>
        <w:tc>
          <w:tcPr>
            <w:tcW w:w="886" w:type="dxa"/>
            <w:tcBorders>
              <w:top w:val="nil"/>
              <w:left w:val="nil"/>
              <w:bottom w:val="nil"/>
              <w:right w:val="nil"/>
            </w:tcBorders>
            <w:shd w:val="clear" w:color="auto" w:fill="auto"/>
            <w:vAlign w:val="center"/>
          </w:tcPr>
          <w:p w14:paraId="6ADD1EED" w14:textId="2E5F6BC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-12.0</w:t>
            </w:r>
          </w:p>
        </w:tc>
        <w:tc>
          <w:tcPr>
            <w:tcW w:w="886" w:type="dxa"/>
            <w:tcBorders>
              <w:top w:val="nil"/>
              <w:left w:val="nil"/>
              <w:bottom w:val="nil"/>
              <w:right w:val="nil"/>
            </w:tcBorders>
            <w:shd w:val="clear" w:color="auto" w:fill="auto"/>
            <w:vAlign w:val="center"/>
          </w:tcPr>
          <w:p w14:paraId="3FF84C41" w14:textId="03B8D2D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-2.6</w:t>
            </w:r>
          </w:p>
        </w:tc>
        <w:tc>
          <w:tcPr>
            <w:tcW w:w="886" w:type="dxa"/>
            <w:tcBorders>
              <w:top w:val="nil"/>
              <w:left w:val="nil"/>
              <w:bottom w:val="nil"/>
              <w:right w:val="nil"/>
            </w:tcBorders>
            <w:shd w:val="clear" w:color="auto" w:fill="auto"/>
            <w:vAlign w:val="center"/>
          </w:tcPr>
          <w:p w14:paraId="339231A8" w14:textId="325DC83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3.7</w:t>
            </w:r>
          </w:p>
        </w:tc>
        <w:tc>
          <w:tcPr>
            <w:tcW w:w="886" w:type="dxa"/>
            <w:tcBorders>
              <w:top w:val="nil"/>
              <w:left w:val="nil"/>
              <w:bottom w:val="nil"/>
              <w:right w:val="nil"/>
            </w:tcBorders>
            <w:shd w:val="clear" w:color="auto" w:fill="auto"/>
            <w:vAlign w:val="center"/>
          </w:tcPr>
          <w:p w14:paraId="0A87BDEB" w14:textId="20033D48"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4.2</w:t>
            </w:r>
          </w:p>
        </w:tc>
        <w:tc>
          <w:tcPr>
            <w:tcW w:w="886" w:type="dxa"/>
            <w:tcBorders>
              <w:top w:val="nil"/>
              <w:left w:val="nil"/>
              <w:bottom w:val="nil"/>
              <w:right w:val="nil"/>
            </w:tcBorders>
            <w:shd w:val="clear" w:color="auto" w:fill="auto"/>
            <w:vAlign w:val="center"/>
          </w:tcPr>
          <w:p w14:paraId="148DA994" w14:textId="7C811BF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9.2</w:t>
            </w:r>
          </w:p>
        </w:tc>
        <w:tc>
          <w:tcPr>
            <w:tcW w:w="886" w:type="dxa"/>
            <w:tcBorders>
              <w:top w:val="nil"/>
              <w:left w:val="nil"/>
              <w:bottom w:val="nil"/>
              <w:right w:val="nil"/>
            </w:tcBorders>
            <w:shd w:val="clear" w:color="auto" w:fill="auto"/>
            <w:vAlign w:val="center"/>
          </w:tcPr>
          <w:p w14:paraId="19AF5801" w14:textId="29921FA0"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0.8</w:t>
            </w:r>
          </w:p>
        </w:tc>
      </w:tr>
      <w:tr w:rsidR="001A2E25" w:rsidRPr="00595D49" w14:paraId="3EB318DB" w14:textId="77777777" w:rsidTr="007F3E43">
        <w:tc>
          <w:tcPr>
            <w:tcW w:w="1148" w:type="dxa"/>
          </w:tcPr>
          <w:p w14:paraId="0F40E0FF" w14:textId="77777777"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7044518" w14:textId="77CD5635"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下半年</w:t>
            </w:r>
          </w:p>
        </w:tc>
        <w:tc>
          <w:tcPr>
            <w:tcW w:w="885" w:type="dxa"/>
            <w:tcBorders>
              <w:top w:val="nil"/>
              <w:left w:val="nil"/>
              <w:bottom w:val="nil"/>
              <w:right w:val="nil"/>
            </w:tcBorders>
            <w:shd w:val="clear" w:color="auto" w:fill="auto"/>
            <w:vAlign w:val="center"/>
          </w:tcPr>
          <w:p w14:paraId="09DB74E0" w14:textId="13540F5F"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3.2</w:t>
            </w:r>
          </w:p>
        </w:tc>
        <w:tc>
          <w:tcPr>
            <w:tcW w:w="886" w:type="dxa"/>
            <w:tcBorders>
              <w:top w:val="nil"/>
              <w:left w:val="nil"/>
              <w:bottom w:val="nil"/>
              <w:right w:val="nil"/>
            </w:tcBorders>
            <w:shd w:val="clear" w:color="auto" w:fill="auto"/>
            <w:vAlign w:val="center"/>
          </w:tcPr>
          <w:p w14:paraId="431F6FF8" w14:textId="615A2C24" w:rsidR="001A2E25" w:rsidRPr="00BE566E" w:rsidRDefault="001A2E25" w:rsidP="001A2E25">
            <w:pPr>
              <w:pStyle w:val="5"/>
              <w:tabs>
                <w:tab w:val="decimal" w:pos="303"/>
                <w:tab w:val="decimal" w:pos="65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-0.3</w:t>
            </w:r>
          </w:p>
        </w:tc>
        <w:tc>
          <w:tcPr>
            <w:tcW w:w="886" w:type="dxa"/>
            <w:tcBorders>
              <w:top w:val="nil"/>
              <w:left w:val="nil"/>
              <w:bottom w:val="nil"/>
              <w:right w:val="nil"/>
            </w:tcBorders>
            <w:shd w:val="clear" w:color="auto" w:fill="auto"/>
            <w:vAlign w:val="center"/>
          </w:tcPr>
          <w:p w14:paraId="28175895" w14:textId="7D24B15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17.9</w:t>
            </w:r>
          </w:p>
        </w:tc>
        <w:tc>
          <w:tcPr>
            <w:tcW w:w="886" w:type="dxa"/>
            <w:tcBorders>
              <w:top w:val="nil"/>
              <w:left w:val="nil"/>
              <w:bottom w:val="nil"/>
              <w:right w:val="nil"/>
            </w:tcBorders>
            <w:shd w:val="clear" w:color="auto" w:fill="auto"/>
            <w:vAlign w:val="center"/>
          </w:tcPr>
          <w:p w14:paraId="22AE1DA7" w14:textId="380E7966"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1.6</w:t>
            </w:r>
          </w:p>
        </w:tc>
        <w:tc>
          <w:tcPr>
            <w:tcW w:w="886" w:type="dxa"/>
            <w:tcBorders>
              <w:top w:val="nil"/>
              <w:left w:val="nil"/>
              <w:bottom w:val="nil"/>
              <w:right w:val="nil"/>
            </w:tcBorders>
            <w:shd w:val="clear" w:color="auto" w:fill="auto"/>
            <w:vAlign w:val="center"/>
          </w:tcPr>
          <w:p w14:paraId="0CB45B20" w14:textId="19B2AE8D"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2.6</w:t>
            </w:r>
          </w:p>
        </w:tc>
        <w:tc>
          <w:tcPr>
            <w:tcW w:w="886" w:type="dxa"/>
            <w:tcBorders>
              <w:top w:val="nil"/>
              <w:left w:val="nil"/>
              <w:bottom w:val="nil"/>
              <w:right w:val="nil"/>
            </w:tcBorders>
            <w:shd w:val="clear" w:color="auto" w:fill="auto"/>
            <w:vAlign w:val="center"/>
          </w:tcPr>
          <w:p w14:paraId="7E188ABA" w14:textId="64C730EA"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2.3</w:t>
            </w:r>
          </w:p>
        </w:tc>
        <w:tc>
          <w:tcPr>
            <w:tcW w:w="886" w:type="dxa"/>
            <w:tcBorders>
              <w:top w:val="nil"/>
              <w:left w:val="nil"/>
              <w:bottom w:val="nil"/>
              <w:right w:val="nil"/>
            </w:tcBorders>
            <w:shd w:val="clear" w:color="auto" w:fill="auto"/>
            <w:vAlign w:val="center"/>
          </w:tcPr>
          <w:p w14:paraId="0E8EF2F1" w14:textId="19E368F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9.9</w:t>
            </w:r>
          </w:p>
        </w:tc>
        <w:tc>
          <w:tcPr>
            <w:tcW w:w="886" w:type="dxa"/>
            <w:tcBorders>
              <w:top w:val="nil"/>
              <w:left w:val="nil"/>
              <w:bottom w:val="nil"/>
              <w:right w:val="nil"/>
            </w:tcBorders>
            <w:shd w:val="clear" w:color="auto" w:fill="auto"/>
            <w:vAlign w:val="center"/>
          </w:tcPr>
          <w:p w14:paraId="1D0AB449" w14:textId="1A1BFB5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2.6</w:t>
            </w:r>
          </w:p>
        </w:tc>
      </w:tr>
      <w:tr w:rsidR="001A2E25" w:rsidRPr="00595D49" w14:paraId="55F7FAC8" w14:textId="77777777" w:rsidTr="007F3E43">
        <w:tc>
          <w:tcPr>
            <w:tcW w:w="1148" w:type="dxa"/>
          </w:tcPr>
          <w:p w14:paraId="68A41434" w14:textId="77777777"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79A7F5C4" w14:textId="255C9F7A"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第一季</w:t>
            </w:r>
          </w:p>
        </w:tc>
        <w:tc>
          <w:tcPr>
            <w:tcW w:w="885" w:type="dxa"/>
            <w:tcBorders>
              <w:top w:val="nil"/>
              <w:left w:val="nil"/>
              <w:bottom w:val="nil"/>
              <w:right w:val="nil"/>
            </w:tcBorders>
            <w:shd w:val="clear" w:color="auto" w:fill="auto"/>
            <w:vAlign w:val="center"/>
          </w:tcPr>
          <w:p w14:paraId="3B8C491A" w14:textId="1199311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-0.6</w:t>
            </w:r>
          </w:p>
        </w:tc>
        <w:tc>
          <w:tcPr>
            <w:tcW w:w="886" w:type="dxa"/>
            <w:tcBorders>
              <w:top w:val="nil"/>
              <w:left w:val="nil"/>
              <w:bottom w:val="nil"/>
              <w:right w:val="nil"/>
            </w:tcBorders>
            <w:shd w:val="clear" w:color="auto" w:fill="auto"/>
            <w:vAlign w:val="center"/>
          </w:tcPr>
          <w:p w14:paraId="0FDD4FAD" w14:textId="388D6972"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-0.3</w:t>
            </w:r>
          </w:p>
        </w:tc>
        <w:tc>
          <w:tcPr>
            <w:tcW w:w="886" w:type="dxa"/>
            <w:tcBorders>
              <w:top w:val="nil"/>
              <w:left w:val="nil"/>
              <w:bottom w:val="nil"/>
              <w:right w:val="nil"/>
            </w:tcBorders>
            <w:shd w:val="clear" w:color="auto" w:fill="auto"/>
            <w:vAlign w:val="center"/>
          </w:tcPr>
          <w:p w14:paraId="38466289" w14:textId="08C96CA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-16.6</w:t>
            </w:r>
          </w:p>
        </w:tc>
        <w:tc>
          <w:tcPr>
            <w:tcW w:w="886" w:type="dxa"/>
            <w:tcBorders>
              <w:top w:val="nil"/>
              <w:left w:val="nil"/>
              <w:bottom w:val="nil"/>
              <w:right w:val="nil"/>
            </w:tcBorders>
            <w:shd w:val="clear" w:color="auto" w:fill="auto"/>
            <w:vAlign w:val="center"/>
          </w:tcPr>
          <w:p w14:paraId="7F3EEE91" w14:textId="2985012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-8.1</w:t>
            </w:r>
          </w:p>
        </w:tc>
        <w:tc>
          <w:tcPr>
            <w:tcW w:w="886" w:type="dxa"/>
            <w:tcBorders>
              <w:top w:val="nil"/>
              <w:left w:val="nil"/>
              <w:bottom w:val="nil"/>
              <w:right w:val="nil"/>
            </w:tcBorders>
            <w:shd w:val="clear" w:color="auto" w:fill="auto"/>
            <w:vAlign w:val="center"/>
          </w:tcPr>
          <w:p w14:paraId="2C5337D9" w14:textId="1CC83785"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3.4</w:t>
            </w:r>
          </w:p>
        </w:tc>
        <w:tc>
          <w:tcPr>
            <w:tcW w:w="886" w:type="dxa"/>
            <w:tcBorders>
              <w:top w:val="nil"/>
              <w:left w:val="nil"/>
              <w:bottom w:val="nil"/>
              <w:right w:val="nil"/>
            </w:tcBorders>
            <w:shd w:val="clear" w:color="auto" w:fill="auto"/>
            <w:vAlign w:val="center"/>
          </w:tcPr>
          <w:p w14:paraId="0F924D63" w14:textId="4446408D"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2.0</w:t>
            </w:r>
          </w:p>
        </w:tc>
        <w:tc>
          <w:tcPr>
            <w:tcW w:w="886" w:type="dxa"/>
            <w:tcBorders>
              <w:top w:val="nil"/>
              <w:left w:val="nil"/>
              <w:bottom w:val="nil"/>
              <w:right w:val="nil"/>
            </w:tcBorders>
            <w:shd w:val="clear" w:color="auto" w:fill="auto"/>
            <w:vAlign w:val="center"/>
          </w:tcPr>
          <w:p w14:paraId="7AAF825D" w14:textId="3A50E3A4"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4.9</w:t>
            </w:r>
          </w:p>
        </w:tc>
        <w:tc>
          <w:tcPr>
            <w:tcW w:w="886" w:type="dxa"/>
            <w:tcBorders>
              <w:top w:val="nil"/>
              <w:left w:val="nil"/>
              <w:bottom w:val="nil"/>
              <w:right w:val="nil"/>
            </w:tcBorders>
            <w:shd w:val="clear" w:color="auto" w:fill="auto"/>
            <w:vAlign w:val="center"/>
          </w:tcPr>
          <w:p w14:paraId="3A291ADA" w14:textId="61D4C75F"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-0.9</w:t>
            </w:r>
          </w:p>
        </w:tc>
      </w:tr>
      <w:tr w:rsidR="001A2E25" w:rsidRPr="00595D49" w14:paraId="1F9C037B" w14:textId="77777777" w:rsidTr="007F3E43">
        <w:tc>
          <w:tcPr>
            <w:tcW w:w="1148" w:type="dxa"/>
          </w:tcPr>
          <w:p w14:paraId="3563ADD4" w14:textId="77777777"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C106473" w14:textId="3F3E4812"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第二季</w:t>
            </w:r>
          </w:p>
        </w:tc>
        <w:tc>
          <w:tcPr>
            <w:tcW w:w="885" w:type="dxa"/>
            <w:tcBorders>
              <w:top w:val="nil"/>
              <w:left w:val="nil"/>
              <w:bottom w:val="nil"/>
              <w:right w:val="nil"/>
            </w:tcBorders>
            <w:shd w:val="clear" w:color="auto" w:fill="auto"/>
            <w:vAlign w:val="center"/>
          </w:tcPr>
          <w:p w14:paraId="2BEA5FBA" w14:textId="5CB722C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2.9</w:t>
            </w:r>
          </w:p>
        </w:tc>
        <w:tc>
          <w:tcPr>
            <w:tcW w:w="886" w:type="dxa"/>
            <w:tcBorders>
              <w:top w:val="nil"/>
              <w:left w:val="nil"/>
              <w:bottom w:val="nil"/>
              <w:right w:val="nil"/>
            </w:tcBorders>
            <w:shd w:val="clear" w:color="auto" w:fill="auto"/>
            <w:vAlign w:val="center"/>
          </w:tcPr>
          <w:p w14:paraId="59673524" w14:textId="11BAD208"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0.6</w:t>
            </w:r>
          </w:p>
        </w:tc>
        <w:tc>
          <w:tcPr>
            <w:tcW w:w="886" w:type="dxa"/>
            <w:tcBorders>
              <w:top w:val="nil"/>
              <w:left w:val="nil"/>
              <w:bottom w:val="nil"/>
              <w:right w:val="nil"/>
            </w:tcBorders>
            <w:shd w:val="clear" w:color="auto" w:fill="auto"/>
            <w:vAlign w:val="center"/>
          </w:tcPr>
          <w:p w14:paraId="676E865C" w14:textId="04F0FDB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-6.2</w:t>
            </w:r>
          </w:p>
        </w:tc>
        <w:tc>
          <w:tcPr>
            <w:tcW w:w="886" w:type="dxa"/>
            <w:tcBorders>
              <w:top w:val="nil"/>
              <w:left w:val="nil"/>
              <w:bottom w:val="nil"/>
              <w:right w:val="nil"/>
            </w:tcBorders>
            <w:shd w:val="clear" w:color="auto" w:fill="auto"/>
            <w:vAlign w:val="center"/>
          </w:tcPr>
          <w:p w14:paraId="162560EC" w14:textId="5B9AAA0C"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3.1</w:t>
            </w:r>
          </w:p>
        </w:tc>
        <w:tc>
          <w:tcPr>
            <w:tcW w:w="886" w:type="dxa"/>
            <w:tcBorders>
              <w:top w:val="nil"/>
              <w:left w:val="nil"/>
              <w:bottom w:val="nil"/>
              <w:right w:val="nil"/>
            </w:tcBorders>
            <w:shd w:val="clear" w:color="auto" w:fill="auto"/>
            <w:vAlign w:val="center"/>
          </w:tcPr>
          <w:p w14:paraId="33040DFC" w14:textId="108BA0B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4.0</w:t>
            </w:r>
          </w:p>
        </w:tc>
        <w:tc>
          <w:tcPr>
            <w:tcW w:w="886" w:type="dxa"/>
            <w:tcBorders>
              <w:top w:val="nil"/>
              <w:left w:val="nil"/>
              <w:bottom w:val="nil"/>
              <w:right w:val="nil"/>
            </w:tcBorders>
            <w:shd w:val="clear" w:color="auto" w:fill="auto"/>
            <w:vAlign w:val="center"/>
          </w:tcPr>
          <w:p w14:paraId="3D9944A1" w14:textId="62F98AD3"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6.4</w:t>
            </w:r>
          </w:p>
        </w:tc>
        <w:tc>
          <w:tcPr>
            <w:tcW w:w="886" w:type="dxa"/>
            <w:tcBorders>
              <w:top w:val="nil"/>
              <w:left w:val="nil"/>
              <w:bottom w:val="nil"/>
              <w:right w:val="nil"/>
            </w:tcBorders>
            <w:shd w:val="clear" w:color="auto" w:fill="auto"/>
            <w:vAlign w:val="center"/>
          </w:tcPr>
          <w:p w14:paraId="3BEAA44A" w14:textId="7EF176E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14.6</w:t>
            </w:r>
          </w:p>
        </w:tc>
        <w:tc>
          <w:tcPr>
            <w:tcW w:w="886" w:type="dxa"/>
            <w:tcBorders>
              <w:top w:val="nil"/>
              <w:left w:val="nil"/>
              <w:bottom w:val="nil"/>
              <w:right w:val="nil"/>
            </w:tcBorders>
            <w:shd w:val="clear" w:color="auto" w:fill="auto"/>
            <w:vAlign w:val="center"/>
          </w:tcPr>
          <w:p w14:paraId="33AD6F85" w14:textId="6B98792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2.3</w:t>
            </w:r>
          </w:p>
        </w:tc>
      </w:tr>
      <w:tr w:rsidR="001A2E25" w:rsidRPr="00595D49" w14:paraId="704B7BED" w14:textId="77777777" w:rsidTr="007F3E43">
        <w:trPr>
          <w:trHeight w:val="68"/>
        </w:trPr>
        <w:tc>
          <w:tcPr>
            <w:tcW w:w="1148" w:type="dxa"/>
          </w:tcPr>
          <w:p w14:paraId="2634975C" w14:textId="77777777"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A9F66BC" w14:textId="1ADE18B4"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第三季</w:t>
            </w:r>
          </w:p>
        </w:tc>
        <w:tc>
          <w:tcPr>
            <w:tcW w:w="885" w:type="dxa"/>
            <w:tcBorders>
              <w:top w:val="nil"/>
              <w:left w:val="nil"/>
              <w:bottom w:val="nil"/>
              <w:right w:val="nil"/>
            </w:tcBorders>
            <w:shd w:val="clear" w:color="auto" w:fill="auto"/>
            <w:vAlign w:val="center"/>
          </w:tcPr>
          <w:p w14:paraId="60350A9E" w14:textId="6C3B03DC"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3.1</w:t>
            </w:r>
          </w:p>
        </w:tc>
        <w:tc>
          <w:tcPr>
            <w:tcW w:w="886" w:type="dxa"/>
            <w:tcBorders>
              <w:top w:val="nil"/>
              <w:left w:val="nil"/>
              <w:bottom w:val="nil"/>
              <w:right w:val="nil"/>
            </w:tcBorders>
            <w:shd w:val="clear" w:color="auto" w:fill="auto"/>
            <w:vAlign w:val="center"/>
          </w:tcPr>
          <w:p w14:paraId="6DE544CF" w14:textId="14D0BF95"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-1.1</w:t>
            </w:r>
          </w:p>
        </w:tc>
        <w:tc>
          <w:tcPr>
            <w:tcW w:w="886" w:type="dxa"/>
            <w:tcBorders>
              <w:top w:val="nil"/>
              <w:left w:val="nil"/>
              <w:bottom w:val="nil"/>
              <w:right w:val="nil"/>
            </w:tcBorders>
            <w:shd w:val="clear" w:color="auto" w:fill="auto"/>
            <w:vAlign w:val="center"/>
          </w:tcPr>
          <w:p w14:paraId="0F8DAB3E" w14:textId="1F5AB34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10.7</w:t>
            </w:r>
          </w:p>
        </w:tc>
        <w:tc>
          <w:tcPr>
            <w:tcW w:w="886" w:type="dxa"/>
            <w:tcBorders>
              <w:top w:val="nil"/>
              <w:left w:val="nil"/>
              <w:bottom w:val="nil"/>
              <w:right w:val="nil"/>
            </w:tcBorders>
            <w:shd w:val="clear" w:color="auto" w:fill="auto"/>
            <w:vAlign w:val="center"/>
          </w:tcPr>
          <w:p w14:paraId="48EF2EAF" w14:textId="189A905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3.4</w:t>
            </w:r>
          </w:p>
        </w:tc>
        <w:tc>
          <w:tcPr>
            <w:tcW w:w="886" w:type="dxa"/>
            <w:tcBorders>
              <w:top w:val="nil"/>
              <w:left w:val="nil"/>
              <w:bottom w:val="nil"/>
              <w:right w:val="nil"/>
            </w:tcBorders>
            <w:shd w:val="clear" w:color="auto" w:fill="auto"/>
            <w:vAlign w:val="center"/>
          </w:tcPr>
          <w:p w14:paraId="1ADEBC27" w14:textId="02EEA336"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3.0</w:t>
            </w:r>
          </w:p>
        </w:tc>
        <w:tc>
          <w:tcPr>
            <w:tcW w:w="886" w:type="dxa"/>
            <w:tcBorders>
              <w:top w:val="nil"/>
              <w:left w:val="nil"/>
              <w:bottom w:val="nil"/>
              <w:right w:val="nil"/>
            </w:tcBorders>
            <w:shd w:val="clear" w:color="auto" w:fill="auto"/>
            <w:vAlign w:val="center"/>
          </w:tcPr>
          <w:p w14:paraId="6DE4F011" w14:textId="20E81F3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0.4</w:t>
            </w:r>
          </w:p>
        </w:tc>
        <w:tc>
          <w:tcPr>
            <w:tcW w:w="886" w:type="dxa"/>
            <w:tcBorders>
              <w:top w:val="nil"/>
              <w:left w:val="nil"/>
              <w:bottom w:val="nil"/>
              <w:right w:val="nil"/>
            </w:tcBorders>
            <w:shd w:val="clear" w:color="auto" w:fill="auto"/>
            <w:vAlign w:val="center"/>
          </w:tcPr>
          <w:p w14:paraId="02DABC75" w14:textId="70CF067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8.9</w:t>
            </w:r>
          </w:p>
        </w:tc>
        <w:tc>
          <w:tcPr>
            <w:tcW w:w="886" w:type="dxa"/>
            <w:tcBorders>
              <w:top w:val="nil"/>
              <w:left w:val="nil"/>
              <w:bottom w:val="nil"/>
              <w:right w:val="nil"/>
            </w:tcBorders>
            <w:shd w:val="clear" w:color="auto" w:fill="auto"/>
            <w:vAlign w:val="center"/>
          </w:tcPr>
          <w:p w14:paraId="1C7C86C9" w14:textId="784E27E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2.4</w:t>
            </w:r>
          </w:p>
        </w:tc>
      </w:tr>
      <w:tr w:rsidR="001A2E25" w:rsidRPr="00595D49" w14:paraId="6CA6FE1F" w14:textId="77777777" w:rsidTr="007F3E43">
        <w:tc>
          <w:tcPr>
            <w:tcW w:w="1148" w:type="dxa"/>
          </w:tcPr>
          <w:p w14:paraId="1BBD4F97" w14:textId="77777777"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8A314D1" w14:textId="5D6FD3B6" w:rsidR="001A2E25" w:rsidRPr="007F3E43" w:rsidRDefault="001A2E25" w:rsidP="001A2E25">
            <w:pPr>
              <w:keepNext/>
              <w:tabs>
                <w:tab w:val="clear" w:pos="936"/>
                <w:tab w:val="clear" w:pos="1560"/>
                <w:tab w:val="clear" w:pos="2184"/>
                <w:tab w:val="clear" w:pos="2808"/>
                <w:tab w:val="left" w:pos="575"/>
              </w:tabs>
              <w:spacing w:after="0" w:line="320" w:lineRule="atLeast"/>
              <w:ind w:right="28"/>
              <w:rPr>
                <w:bCs/>
                <w:spacing w:val="0"/>
                <w:sz w:val="20"/>
              </w:rPr>
            </w:pPr>
            <w:r w:rsidRPr="007F3E43">
              <w:rPr>
                <w:bCs/>
                <w:spacing w:val="0"/>
                <w:sz w:val="20"/>
              </w:rPr>
              <w:t>第四季</w:t>
            </w:r>
          </w:p>
        </w:tc>
        <w:tc>
          <w:tcPr>
            <w:tcW w:w="885" w:type="dxa"/>
            <w:tcBorders>
              <w:top w:val="nil"/>
              <w:left w:val="nil"/>
              <w:bottom w:val="nil"/>
              <w:right w:val="nil"/>
            </w:tcBorders>
            <w:shd w:val="clear" w:color="auto" w:fill="auto"/>
            <w:vAlign w:val="center"/>
          </w:tcPr>
          <w:p w14:paraId="33628246" w14:textId="278FD68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3.3</w:t>
            </w:r>
          </w:p>
        </w:tc>
        <w:tc>
          <w:tcPr>
            <w:tcW w:w="886" w:type="dxa"/>
            <w:tcBorders>
              <w:top w:val="nil"/>
              <w:left w:val="nil"/>
              <w:bottom w:val="nil"/>
              <w:right w:val="nil"/>
            </w:tcBorders>
            <w:shd w:val="clear" w:color="auto" w:fill="auto"/>
            <w:vAlign w:val="center"/>
          </w:tcPr>
          <w:p w14:paraId="652C83EE" w14:textId="2C706F53" w:rsidR="001A2E25" w:rsidRPr="00BE566E" w:rsidRDefault="001A2E25" w:rsidP="001A2E25">
            <w:pPr>
              <w:pStyle w:val="5"/>
              <w:tabs>
                <w:tab w:val="decimal" w:pos="225"/>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0.5</w:t>
            </w:r>
          </w:p>
        </w:tc>
        <w:tc>
          <w:tcPr>
            <w:tcW w:w="886" w:type="dxa"/>
            <w:tcBorders>
              <w:top w:val="nil"/>
              <w:left w:val="nil"/>
              <w:bottom w:val="nil"/>
              <w:right w:val="nil"/>
            </w:tcBorders>
            <w:shd w:val="clear" w:color="auto" w:fill="auto"/>
            <w:vAlign w:val="center"/>
          </w:tcPr>
          <w:p w14:paraId="77CE2CC1" w14:textId="69A98282"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23.4</w:t>
            </w:r>
          </w:p>
        </w:tc>
        <w:tc>
          <w:tcPr>
            <w:tcW w:w="886" w:type="dxa"/>
            <w:tcBorders>
              <w:top w:val="nil"/>
              <w:left w:val="nil"/>
              <w:bottom w:val="nil"/>
              <w:right w:val="nil"/>
            </w:tcBorders>
            <w:shd w:val="clear" w:color="auto" w:fill="auto"/>
            <w:vAlign w:val="center"/>
          </w:tcPr>
          <w:p w14:paraId="3B97EC83" w14:textId="5BE4CC3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0.1</w:t>
            </w:r>
          </w:p>
        </w:tc>
        <w:tc>
          <w:tcPr>
            <w:tcW w:w="886" w:type="dxa"/>
            <w:tcBorders>
              <w:top w:val="nil"/>
              <w:left w:val="nil"/>
              <w:bottom w:val="nil"/>
              <w:right w:val="nil"/>
            </w:tcBorders>
            <w:shd w:val="clear" w:color="auto" w:fill="auto"/>
            <w:vAlign w:val="center"/>
          </w:tcPr>
          <w:p w14:paraId="4E5935EE" w14:textId="36B3963C"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2.2</w:t>
            </w:r>
          </w:p>
        </w:tc>
        <w:tc>
          <w:tcPr>
            <w:tcW w:w="886" w:type="dxa"/>
            <w:tcBorders>
              <w:top w:val="nil"/>
              <w:left w:val="nil"/>
              <w:bottom w:val="nil"/>
              <w:right w:val="nil"/>
            </w:tcBorders>
            <w:shd w:val="clear" w:color="auto" w:fill="auto"/>
            <w:vAlign w:val="center"/>
          </w:tcPr>
          <w:p w14:paraId="4F76CB38" w14:textId="1EE04C61"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4.0</w:t>
            </w:r>
          </w:p>
        </w:tc>
        <w:tc>
          <w:tcPr>
            <w:tcW w:w="886" w:type="dxa"/>
            <w:tcBorders>
              <w:top w:val="nil"/>
              <w:left w:val="nil"/>
              <w:bottom w:val="nil"/>
              <w:right w:val="nil"/>
            </w:tcBorders>
            <w:shd w:val="clear" w:color="auto" w:fill="auto"/>
            <w:vAlign w:val="center"/>
          </w:tcPr>
          <w:p w14:paraId="1B5F026E" w14:textId="08D67A09"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10.8</w:t>
            </w:r>
          </w:p>
        </w:tc>
        <w:tc>
          <w:tcPr>
            <w:tcW w:w="886" w:type="dxa"/>
            <w:tcBorders>
              <w:top w:val="nil"/>
              <w:left w:val="nil"/>
              <w:bottom w:val="nil"/>
              <w:right w:val="nil"/>
            </w:tcBorders>
            <w:shd w:val="clear" w:color="auto" w:fill="auto"/>
            <w:vAlign w:val="center"/>
          </w:tcPr>
          <w:p w14:paraId="26ECFCB2" w14:textId="54BA0917" w:rsidR="001A2E25" w:rsidRPr="00BE566E" w:rsidRDefault="001A2E25" w:rsidP="001A2E25">
            <w:pPr>
              <w:pStyle w:val="5"/>
              <w:tabs>
                <w:tab w:val="decimal" w:pos="303"/>
              </w:tabs>
              <w:adjustRightInd w:val="0"/>
              <w:spacing w:line="320" w:lineRule="atLeast"/>
              <w:ind w:left="0" w:right="0"/>
              <w:rPr>
                <w:rFonts w:ascii="Times New Roman" w:eastAsia="華康細明體"/>
                <w:kern w:val="0"/>
                <w:sz w:val="22"/>
                <w:szCs w:val="22"/>
                <w:u w:val="none"/>
                <w:lang w:val="en-GB"/>
              </w:rPr>
            </w:pPr>
            <w:r w:rsidRPr="00BE566E">
              <w:rPr>
                <w:rFonts w:ascii="Times New Roman" w:eastAsia="華康細明體"/>
                <w:kern w:val="0"/>
                <w:sz w:val="22"/>
                <w:szCs w:val="22"/>
                <w:u w:val="none"/>
                <w:lang w:val="en-GB"/>
              </w:rPr>
              <w:t>2.7</w:t>
            </w:r>
          </w:p>
        </w:tc>
      </w:tr>
    </w:tbl>
    <w:p w14:paraId="3E71D3BB" w14:textId="785A2080" w:rsidR="007F3E43" w:rsidRDefault="007F3E43" w:rsidP="007F3E43">
      <w:pPr>
        <w:pStyle w:val="afff3"/>
        <w:rPr>
          <w:lang w:val="en-GB" w:eastAsia="zh-HK"/>
        </w:rPr>
      </w:pPr>
    </w:p>
    <w:p w14:paraId="2E91FE62" w14:textId="77777777" w:rsidR="002B6908" w:rsidRPr="007F3E43" w:rsidRDefault="002B6908" w:rsidP="006D5A4A">
      <w:pPr>
        <w:pStyle w:val="afff3"/>
        <w:rPr>
          <w:lang w:eastAsia="zh-HK"/>
        </w:rPr>
      </w:pPr>
      <w:r w:rsidRPr="00877DF1">
        <w:rPr>
          <w:rFonts w:hint="eastAsia"/>
          <w:lang w:eastAsia="zh-HK"/>
        </w:rPr>
        <w:t>註：</w:t>
      </w:r>
      <w:r w:rsidRPr="00877DF1">
        <w:rPr>
          <w:lang w:eastAsia="zh-HK"/>
        </w:rPr>
        <w:tab/>
      </w:r>
      <w:r w:rsidRPr="007F3E43">
        <w:rPr>
          <w:lang w:eastAsia="zh-HK"/>
        </w:rPr>
        <w:t>(a)</w:t>
      </w:r>
      <w:r w:rsidRPr="007F3E43">
        <w:rPr>
          <w:lang w:eastAsia="zh-HK"/>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31D8D00B" w14:textId="77777777" w:rsidR="002B6908" w:rsidRDefault="002B6908" w:rsidP="006D5A4A">
      <w:pPr>
        <w:pStyle w:val="afff3"/>
        <w:rPr>
          <w:lang w:eastAsia="zh-HK"/>
        </w:rPr>
      </w:pPr>
      <w:r w:rsidRPr="00877DF1">
        <w:rPr>
          <w:lang w:eastAsia="zh-HK"/>
        </w:rPr>
        <w:tab/>
        <w:t>(b)</w:t>
      </w:r>
      <w:r w:rsidRPr="00877DF1">
        <w:rPr>
          <w:lang w:eastAsia="zh-HK"/>
        </w:rPr>
        <w:tab/>
      </w:r>
      <w:r w:rsidRPr="00877DF1">
        <w:rPr>
          <w:rFonts w:hint="eastAsia"/>
          <w:lang w:eastAsia="zh-HK"/>
        </w:rPr>
        <w:t>私人消費開支數字是從本土市場的總消費開支中減去旅客消費後加入香港居民在外地的開支而得出。</w:t>
      </w:r>
    </w:p>
    <w:p w14:paraId="65B1F2B0" w14:textId="77777777" w:rsidR="002B6908" w:rsidRDefault="002B6908">
      <w:pPr>
        <w:tabs>
          <w:tab w:val="clear" w:pos="936"/>
          <w:tab w:val="clear" w:pos="1560"/>
          <w:tab w:val="clear" w:pos="2184"/>
          <w:tab w:val="clear" w:pos="2808"/>
        </w:tabs>
        <w:overflowPunct/>
        <w:adjustRightInd/>
        <w:spacing w:after="0" w:line="240" w:lineRule="auto"/>
        <w:jc w:val="left"/>
        <w:textAlignment w:val="auto"/>
        <w:rPr>
          <w:rFonts w:eastAsia="新細明體"/>
          <w:b/>
          <w:spacing w:val="0"/>
          <w:sz w:val="28"/>
          <w:szCs w:val="24"/>
          <w:lang w:val="en-GB"/>
        </w:rPr>
      </w:pPr>
    </w:p>
    <w:p w14:paraId="1A4C729C" w14:textId="0537224F" w:rsidR="007F3E43" w:rsidRDefault="007F3E43">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6BA12BE4" w14:textId="4894409B" w:rsidR="00290AA7" w:rsidRDefault="00290AA7" w:rsidP="007F3E43">
      <w:pPr>
        <w:rPr>
          <w:lang w:eastAsia="zh-HK"/>
        </w:rPr>
      </w:pPr>
      <w:r w:rsidRPr="00290AA7">
        <w:rPr>
          <w:noProof/>
        </w:rPr>
        <w:lastRenderedPageBreak/>
        <w:drawing>
          <wp:inline distT="0" distB="0" distL="0" distR="0" wp14:anchorId="496BF7F8" wp14:editId="68456082">
            <wp:extent cx="5760085" cy="351472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14725"/>
                    </a:xfrm>
                    <a:prstGeom prst="rect">
                      <a:avLst/>
                    </a:prstGeom>
                    <a:noFill/>
                    <a:ln>
                      <a:noFill/>
                    </a:ln>
                  </pic:spPr>
                </pic:pic>
              </a:graphicData>
            </a:graphic>
          </wp:inline>
        </w:drawing>
      </w:r>
    </w:p>
    <w:p w14:paraId="44E526BA" w14:textId="5A5764FB" w:rsidR="002B6908" w:rsidRPr="00EA3DA2" w:rsidRDefault="002B6908" w:rsidP="0093046C">
      <w:pPr>
        <w:rPr>
          <w:lang w:eastAsia="zh-HK"/>
        </w:rPr>
      </w:pPr>
      <w:r w:rsidRPr="005910DF">
        <w:rPr>
          <w:b/>
        </w:rPr>
        <w:t>1.</w:t>
      </w:r>
      <w:r>
        <w:rPr>
          <w:rFonts w:hint="eastAsia"/>
          <w:b/>
        </w:rPr>
        <w:t>7</w:t>
      </w:r>
      <w:r w:rsidRPr="005910DF">
        <w:tab/>
      </w:r>
      <w:r w:rsidRPr="001927AE">
        <w:rPr>
          <w:rFonts w:hint="eastAsia"/>
        </w:rPr>
        <w:t>按</w:t>
      </w:r>
      <w:r w:rsidRPr="0023178E">
        <w:rPr>
          <w:rFonts w:hint="eastAsia"/>
          <w:i/>
        </w:rPr>
        <w:t>本地固定資本形成總額</w:t>
      </w:r>
      <w:r w:rsidRPr="001927AE">
        <w:rPr>
          <w:rFonts w:hint="eastAsia"/>
        </w:rPr>
        <w:t>計算的整體投資</w:t>
      </w:r>
      <w:r w:rsidRPr="00E27004">
        <w:rPr>
          <w:rFonts w:hint="eastAsia"/>
        </w:rPr>
        <w:t>開支</w:t>
      </w:r>
      <w:r>
        <w:rPr>
          <w:rFonts w:hint="eastAsia"/>
        </w:rPr>
        <w:t>繼</w:t>
      </w:r>
      <w:bookmarkStart w:id="10" w:name="_Hlk221714526"/>
      <w:r>
        <w:rPr>
          <w:rFonts w:hint="eastAsia"/>
        </w:rPr>
        <w:t>二零二四年實質上升</w:t>
      </w:r>
      <w:r>
        <w:rPr>
          <w:rFonts w:hint="eastAsia"/>
        </w:rPr>
        <w:t>1.9%</w:t>
      </w:r>
      <w:r>
        <w:rPr>
          <w:rFonts w:hint="eastAsia"/>
        </w:rPr>
        <w:t>後，二零二五</w:t>
      </w:r>
      <w:r w:rsidR="008D5CE8">
        <w:rPr>
          <w:rFonts w:hint="eastAsia"/>
        </w:rPr>
        <w:t>年</w:t>
      </w:r>
      <w:r>
        <w:rPr>
          <w:rFonts w:hint="eastAsia"/>
        </w:rPr>
        <w:t>的升幅加快至</w:t>
      </w:r>
      <w:r w:rsidR="00290AA7">
        <w:rPr>
          <w:rFonts w:hint="eastAsia"/>
        </w:rPr>
        <w:t>4.3%</w:t>
      </w:r>
      <w:bookmarkEnd w:id="10"/>
      <w:r>
        <w:rPr>
          <w:rFonts w:hint="eastAsia"/>
        </w:rPr>
        <w:t>。</w:t>
      </w:r>
      <w:r w:rsidRPr="001927AE">
        <w:rPr>
          <w:rFonts w:hint="eastAsia"/>
        </w:rPr>
        <w:t>購置機器、設備及知識產權產品的開支</w:t>
      </w:r>
      <w:r>
        <w:rPr>
          <w:rFonts w:hint="eastAsia"/>
        </w:rPr>
        <w:t>大幅上升</w:t>
      </w:r>
      <w:r w:rsidR="00290AA7">
        <w:rPr>
          <w:rFonts w:hint="eastAsia"/>
        </w:rPr>
        <w:t>24.7%</w:t>
      </w:r>
      <w:r>
        <w:rPr>
          <w:rFonts w:hint="eastAsia"/>
        </w:rPr>
        <w:t>，當中私營機構開支增幅尤為強勁。由於物業交投量強勁反彈，擁有權轉讓費用</w:t>
      </w:r>
      <w:r>
        <w:rPr>
          <w:rFonts w:hint="eastAsia"/>
          <w:lang w:eastAsia="zh-HK"/>
        </w:rPr>
        <w:t>躍升</w:t>
      </w:r>
      <w:r w:rsidR="00290AA7">
        <w:rPr>
          <w:rFonts w:hint="eastAsia"/>
          <w:lang w:eastAsia="zh-HK"/>
        </w:rPr>
        <w:t>38.9%</w:t>
      </w:r>
      <w:r w:rsidR="00510316" w:rsidRPr="00510316">
        <w:rPr>
          <w:rFonts w:hint="eastAsia"/>
        </w:rPr>
        <w:t>。</w:t>
      </w:r>
      <w:r w:rsidR="00510316">
        <w:rPr>
          <w:rFonts w:hint="eastAsia"/>
        </w:rPr>
        <w:t>這兩項</w:t>
      </w:r>
      <w:r w:rsidR="00F00D18">
        <w:rPr>
          <w:rFonts w:hint="eastAsia"/>
        </w:rPr>
        <w:t>的</w:t>
      </w:r>
      <w:r w:rsidR="00444423">
        <w:rPr>
          <w:rFonts w:hint="eastAsia"/>
          <w:lang w:eastAsia="zh-HK"/>
        </w:rPr>
        <w:t>升幅足夠</w:t>
      </w:r>
      <w:r w:rsidR="00A252BD">
        <w:rPr>
          <w:rFonts w:hint="eastAsia"/>
          <w:lang w:eastAsia="zh-HK"/>
        </w:rPr>
        <w:t>抵</w:t>
      </w:r>
      <w:r w:rsidR="00A252BD">
        <w:rPr>
          <w:rFonts w:hint="eastAsia"/>
        </w:rPr>
        <w:t>銷</w:t>
      </w:r>
      <w:r>
        <w:rPr>
          <w:rFonts w:hint="eastAsia"/>
        </w:rPr>
        <w:t>樓宇及建造開支</w:t>
      </w:r>
      <w:r w:rsidR="00853323">
        <w:rPr>
          <w:rFonts w:hint="eastAsia"/>
          <w:lang w:eastAsia="zh-HK"/>
        </w:rPr>
        <w:t>轉為</w:t>
      </w:r>
      <w:r w:rsidR="00853323">
        <w:rPr>
          <w:rFonts w:hint="eastAsia"/>
        </w:rPr>
        <w:t>下跌</w:t>
      </w:r>
      <w:r w:rsidR="00853323">
        <w:rPr>
          <w:rFonts w:hint="eastAsia"/>
        </w:rPr>
        <w:t>9.4%</w:t>
      </w:r>
      <w:r w:rsidR="00444423">
        <w:rPr>
          <w:rFonts w:hint="eastAsia"/>
          <w:lang w:eastAsia="zh-HK"/>
        </w:rPr>
        <w:t>的</w:t>
      </w:r>
      <w:r>
        <w:rPr>
          <w:rFonts w:hint="eastAsia"/>
        </w:rPr>
        <w:t>疲弱表現有餘。同時，</w:t>
      </w:r>
      <w:r w:rsidRPr="002E521E">
        <w:rPr>
          <w:rFonts w:hint="eastAsia"/>
        </w:rPr>
        <w:t>整體營商氣氛自二零二五年下半年起顯</w:t>
      </w:r>
      <w:r w:rsidR="00944A5C">
        <w:rPr>
          <w:rFonts w:hint="eastAsia"/>
        </w:rPr>
        <w:t>著</w:t>
      </w:r>
      <w:r w:rsidRPr="002E521E">
        <w:rPr>
          <w:rFonts w:hint="eastAsia"/>
        </w:rPr>
        <w:t>改善</w:t>
      </w:r>
      <w:r w:rsidR="007532B3" w:rsidRPr="00643D21">
        <w:rPr>
          <w:rFonts w:hint="eastAsia"/>
        </w:rPr>
        <w:t>(</w:t>
      </w:r>
      <w:r w:rsidR="007532B3" w:rsidRPr="00643D21">
        <w:rPr>
          <w:rFonts w:hint="eastAsia"/>
        </w:rPr>
        <w:t>見</w:t>
      </w:r>
      <w:r w:rsidR="007532B3" w:rsidRPr="00643D21">
        <w:rPr>
          <w:rFonts w:ascii="華康中黑體" w:eastAsia="華康中黑體" w:hAnsi="華康中黑體" w:hint="eastAsia"/>
          <w:i/>
        </w:rPr>
        <w:t>專題</w:t>
      </w:r>
      <w:r w:rsidR="007532B3" w:rsidRPr="00643D21">
        <w:rPr>
          <w:i/>
          <w:lang w:val="en-GB"/>
        </w:rPr>
        <w:t> </w:t>
      </w:r>
      <w:r w:rsidR="007532B3" w:rsidRPr="00643D21">
        <w:rPr>
          <w:b/>
          <w:i/>
        </w:rPr>
        <w:t>1.1</w:t>
      </w:r>
      <w:r w:rsidR="007532B3" w:rsidRPr="00643D21">
        <w:rPr>
          <w:rFonts w:hint="eastAsia"/>
          <w:lang w:eastAsia="zh-HK"/>
        </w:rPr>
        <w:t>：</w:t>
      </w:r>
      <w:r w:rsidR="007532B3" w:rsidRPr="00643D21">
        <w:rPr>
          <w:rFonts w:hint="eastAsia"/>
        </w:rPr>
        <w:t>香港營商氣氛</w:t>
      </w:r>
      <w:r w:rsidR="007532B3" w:rsidRPr="00643D21">
        <w:rPr>
          <w:rFonts w:hint="eastAsia"/>
        </w:rPr>
        <w:t>)</w:t>
      </w:r>
      <w:r w:rsidRPr="002E521E">
        <w:rPr>
          <w:rFonts w:hint="eastAsia"/>
        </w:rPr>
        <w:t>。</w:t>
      </w:r>
    </w:p>
    <w:p w14:paraId="16EF9D8A" w14:textId="77777777" w:rsidR="00756746" w:rsidRDefault="00756746" w:rsidP="0093046C">
      <w:pPr>
        <w:pStyle w:val="120"/>
        <w:rPr>
          <w:lang w:val="en-GB"/>
        </w:rPr>
      </w:pPr>
      <w:r>
        <w:rPr>
          <w:lang w:val="en-GB"/>
        </w:rPr>
        <w:br w:type="page"/>
      </w:r>
    </w:p>
    <w:p w14:paraId="47DED67C" w14:textId="77777777" w:rsidR="00CC563B" w:rsidRPr="00CC563B" w:rsidRDefault="00CC563B" w:rsidP="00CC563B">
      <w:pPr>
        <w:pageBreakBefore/>
        <w:tabs>
          <w:tab w:val="clear" w:pos="936"/>
          <w:tab w:val="clear" w:pos="1560"/>
          <w:tab w:val="clear" w:pos="2184"/>
          <w:tab w:val="clear" w:pos="2808"/>
          <w:tab w:val="center" w:pos="4535"/>
        </w:tabs>
        <w:overflowPunct/>
        <w:adjustRightInd/>
        <w:snapToGrid w:val="0"/>
        <w:spacing w:after="240" w:line="240" w:lineRule="atLeast"/>
        <w:ind w:leftChars="20" w:left="60" w:rightChars="20" w:right="60"/>
        <w:jc w:val="left"/>
        <w:textAlignment w:val="auto"/>
        <w:rPr>
          <w:rFonts w:eastAsia="華康中黑體"/>
          <w:b/>
          <w:noProof/>
          <w:spacing w:val="20"/>
          <w:u w:color="0000FF"/>
        </w:rPr>
      </w:pPr>
      <w:r w:rsidRPr="00CC563B">
        <w:rPr>
          <w:rFonts w:eastAsia="華康中黑體"/>
          <w:noProof/>
          <w:spacing w:val="20"/>
          <w:u w:color="0000FF"/>
        </w:rPr>
        <w:lastRenderedPageBreak/>
        <mc:AlternateContent>
          <mc:Choice Requires="wps">
            <w:drawing>
              <wp:anchor distT="0" distB="0" distL="114300" distR="114300" simplePos="0" relativeHeight="251659264" behindDoc="1" locked="0" layoutInCell="1" allowOverlap="1" wp14:anchorId="4D85FE7F" wp14:editId="28812D72">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55480B1A" w14:textId="77777777" w:rsidR="00265E5C" w:rsidRDefault="00265E5C" w:rsidP="00CC563B">
                            <w:pPr>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85FE7F" id="Rectangle 6" o:spid="_x0000_s1027"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55480B1A" w14:textId="77777777" w:rsidR="00265E5C" w:rsidRDefault="00265E5C" w:rsidP="00CC563B">
                      <w:pPr>
                        <w:spacing w:after="0"/>
                        <w:jc w:val="center"/>
                      </w:pPr>
                    </w:p>
                  </w:txbxContent>
                </v:textbox>
              </v:rect>
            </w:pict>
          </mc:Fallback>
        </mc:AlternateContent>
      </w:r>
      <w:r w:rsidRPr="00CC563B">
        <w:rPr>
          <w:rFonts w:eastAsia="華康中黑體" w:hint="eastAsia"/>
          <w:noProof/>
          <w:spacing w:val="20"/>
          <w:u w:color="0000FF"/>
        </w:rPr>
        <w:t>專題</w:t>
      </w:r>
      <w:r w:rsidRPr="00CC563B">
        <w:rPr>
          <w:rFonts w:eastAsia="華康中黑體" w:hint="eastAsia"/>
          <w:b/>
          <w:noProof/>
          <w:spacing w:val="20"/>
          <w:u w:color="0000FF"/>
        </w:rPr>
        <w:t>1.1</w:t>
      </w:r>
    </w:p>
    <w:p w14:paraId="4AD73E6B" w14:textId="77777777" w:rsidR="00CC563B" w:rsidRPr="00CC563B" w:rsidRDefault="00CC563B" w:rsidP="00CC563B">
      <w:pPr>
        <w:topLinePunct/>
        <w:snapToGrid w:val="0"/>
        <w:spacing w:after="240" w:line="240" w:lineRule="atLeast"/>
        <w:ind w:left="113" w:right="113"/>
        <w:jc w:val="center"/>
        <w:rPr>
          <w:rFonts w:eastAsia="華康中黑體"/>
          <w:bCs/>
          <w:snapToGrid w:val="0"/>
          <w:spacing w:val="20"/>
        </w:rPr>
      </w:pPr>
      <w:r w:rsidRPr="00CC563B">
        <w:rPr>
          <w:rFonts w:eastAsia="華康中黑體" w:hint="eastAsia"/>
          <w:bCs/>
          <w:snapToGrid w:val="0"/>
          <w:spacing w:val="20"/>
        </w:rPr>
        <w:t>香港營商氣氛</w:t>
      </w:r>
    </w:p>
    <w:p w14:paraId="3E8273E0" w14:textId="43C6567F"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CC563B">
        <w:rPr>
          <w:rFonts w:hint="eastAsia"/>
          <w:snapToGrid w:val="0"/>
          <w:spacing w:val="20"/>
          <w:sz w:val="22"/>
        </w:rPr>
        <w:t>本專題根據公開發</w:t>
      </w:r>
      <w:r w:rsidRPr="00CC563B">
        <w:rPr>
          <w:snapToGrid w:val="0"/>
          <w:spacing w:val="20"/>
          <w:sz w:val="22"/>
        </w:rPr>
        <w:t>布</w:t>
      </w:r>
      <w:r w:rsidRPr="00CC563B">
        <w:rPr>
          <w:rFonts w:hint="eastAsia"/>
          <w:snapToGrid w:val="0"/>
          <w:spacing w:val="20"/>
          <w:sz w:val="22"/>
        </w:rPr>
        <w:t>的多項調查結果，概述香港目前的營商氣氛。調查</w:t>
      </w:r>
      <w:r w:rsidRPr="00CC563B">
        <w:rPr>
          <w:rFonts w:hint="eastAsia"/>
          <w:snapToGrid w:val="0"/>
          <w:spacing w:val="20"/>
          <w:sz w:val="22"/>
          <w:lang w:eastAsia="zh-HK"/>
        </w:rPr>
        <w:t>結果顯示，</w:t>
      </w:r>
      <w:r w:rsidRPr="00CC563B">
        <w:rPr>
          <w:rFonts w:hint="eastAsia"/>
          <w:snapToGrid w:val="0"/>
          <w:spacing w:val="20"/>
          <w:sz w:val="22"/>
        </w:rPr>
        <w:t>整體營商氣氛自二零二五年下半年起顯</w:t>
      </w:r>
      <w:r w:rsidR="002A2127">
        <w:rPr>
          <w:rFonts w:hint="eastAsia"/>
          <w:snapToGrid w:val="0"/>
          <w:spacing w:val="20"/>
          <w:sz w:val="22"/>
        </w:rPr>
        <w:t>著</w:t>
      </w:r>
      <w:r w:rsidRPr="00CC563B">
        <w:rPr>
          <w:rFonts w:hint="eastAsia"/>
          <w:snapToGrid w:val="0"/>
          <w:spacing w:val="20"/>
          <w:sz w:val="22"/>
        </w:rPr>
        <w:t>改善。</w:t>
      </w:r>
    </w:p>
    <w:p w14:paraId="2DA42C85" w14:textId="015D6C34"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CC563B">
        <w:rPr>
          <w:rFonts w:hint="eastAsia"/>
          <w:snapToGrid w:val="0"/>
          <w:spacing w:val="20"/>
          <w:sz w:val="22"/>
          <w:lang w:eastAsia="zh-HK"/>
        </w:rPr>
        <w:t>根據</w:t>
      </w:r>
      <w:r w:rsidRPr="00CC563B">
        <w:rPr>
          <w:rFonts w:hint="eastAsia"/>
          <w:snapToGrid w:val="0"/>
          <w:spacing w:val="20"/>
          <w:sz w:val="22"/>
        </w:rPr>
        <w:t>政府統</w:t>
      </w:r>
      <w:r w:rsidRPr="00CC563B">
        <w:rPr>
          <w:rFonts w:ascii="新細明體" w:hAnsi="新細明體" w:cs="新細明體" w:hint="eastAsia"/>
          <w:snapToGrid w:val="0"/>
          <w:spacing w:val="20"/>
          <w:sz w:val="22"/>
          <w:lang w:eastAsia="zh-HK"/>
        </w:rPr>
        <w:t>計處的業務展望按季統計調查</w:t>
      </w:r>
      <w:r w:rsidRPr="00CC563B">
        <w:rPr>
          <w:snapToGrid w:val="0"/>
          <w:spacing w:val="20"/>
          <w:sz w:val="22"/>
          <w:vertAlign w:val="superscript"/>
        </w:rPr>
        <w:t>(1)</w:t>
      </w:r>
      <w:r w:rsidRPr="00CC563B">
        <w:rPr>
          <w:rFonts w:ascii="新細明體" w:hAnsi="新細明體" w:cs="新細明體" w:hint="eastAsia"/>
          <w:snapToGrid w:val="0"/>
          <w:spacing w:val="20"/>
          <w:sz w:val="22"/>
          <w:lang w:eastAsia="zh-HK"/>
        </w:rPr>
        <w:t>所得結果，</w:t>
      </w:r>
      <w:r w:rsidRPr="00CC563B">
        <w:rPr>
          <w:rFonts w:ascii="新細明體" w:hAnsi="新細明體" w:cs="新細明體" w:hint="eastAsia"/>
          <w:snapToGrid w:val="0"/>
          <w:spacing w:val="20"/>
          <w:sz w:val="22"/>
        </w:rPr>
        <w:t>最近兩輪調查</w:t>
      </w:r>
      <w:r w:rsidRPr="00CC563B">
        <w:rPr>
          <w:snapToGrid w:val="0"/>
          <w:spacing w:val="20"/>
          <w:sz w:val="22"/>
        </w:rPr>
        <w:t>(</w:t>
      </w:r>
      <w:r w:rsidRPr="00CC563B">
        <w:rPr>
          <w:rFonts w:hint="eastAsia"/>
          <w:snapToGrid w:val="0"/>
          <w:spacing w:val="20"/>
          <w:sz w:val="22"/>
          <w:lang w:eastAsia="zh-HK"/>
        </w:rPr>
        <w:t>分別</w:t>
      </w:r>
      <w:r w:rsidRPr="00CC563B">
        <w:rPr>
          <w:rFonts w:hint="eastAsia"/>
          <w:snapToGrid w:val="0"/>
          <w:spacing w:val="20"/>
          <w:sz w:val="22"/>
        </w:rPr>
        <w:t>在二零二五年九月二日至二零二五年十月十日，以及二零二五年十二月一日至二零二六年一月九日進行</w:t>
      </w:r>
      <w:r w:rsidRPr="00CC563B">
        <w:rPr>
          <w:snapToGrid w:val="0"/>
          <w:spacing w:val="20"/>
          <w:sz w:val="22"/>
        </w:rPr>
        <w:t>)</w:t>
      </w:r>
      <w:r w:rsidRPr="00CC563B">
        <w:rPr>
          <w:rFonts w:hint="eastAsia"/>
          <w:snapToGrid w:val="0"/>
          <w:spacing w:val="20"/>
          <w:sz w:val="22"/>
        </w:rPr>
        <w:t>顯示，</w:t>
      </w:r>
      <w:r w:rsidRPr="00CC563B">
        <w:rPr>
          <w:rFonts w:ascii="新細明體" w:hAnsi="新細明體" w:cs="新細明體" w:hint="eastAsia"/>
          <w:snapToGrid w:val="0"/>
          <w:spacing w:val="20"/>
          <w:sz w:val="22"/>
          <w:lang w:eastAsia="zh-HK"/>
        </w:rPr>
        <w:t>香港大型企業的營商氣氛與</w:t>
      </w:r>
      <w:r w:rsidRPr="00CC563B">
        <w:rPr>
          <w:rFonts w:ascii="新細明體" w:hAnsi="新細明體" w:cs="新細明體" w:hint="eastAsia"/>
          <w:snapToGrid w:val="0"/>
          <w:spacing w:val="20"/>
          <w:sz w:val="22"/>
        </w:rPr>
        <w:t>二零二五年較早時進行的調查相比</w:t>
      </w:r>
      <w:r w:rsidRPr="00CC563B">
        <w:rPr>
          <w:rFonts w:ascii="新細明體" w:hAnsi="新細明體" w:cs="新細明體" w:hint="eastAsia"/>
          <w:snapToGrid w:val="0"/>
          <w:spacing w:val="20"/>
          <w:sz w:val="22"/>
          <w:lang w:eastAsia="zh-HK"/>
        </w:rPr>
        <w:t>明顯改善</w:t>
      </w:r>
      <w:r w:rsidRPr="00045CC2">
        <w:rPr>
          <w:snapToGrid w:val="0"/>
          <w:spacing w:val="20"/>
          <w:sz w:val="22"/>
        </w:rPr>
        <w:t>(</w:t>
      </w:r>
      <w:r w:rsidRPr="00CC563B">
        <w:rPr>
          <w:rFonts w:ascii="華康中黑體" w:eastAsia="華康中黑體" w:hAnsi="華康中黑體" w:cs="華康中黑體" w:hint="eastAsia"/>
          <w:i/>
          <w:snapToGrid w:val="0"/>
          <w:spacing w:val="20"/>
          <w:sz w:val="22"/>
        </w:rPr>
        <w:t>圖</w:t>
      </w:r>
      <w:r w:rsidRPr="00CC563B">
        <w:rPr>
          <w:rFonts w:eastAsia="華康中黑體"/>
          <w:i/>
          <w:snapToGrid w:val="0"/>
          <w:spacing w:val="10"/>
          <w:sz w:val="22"/>
        </w:rPr>
        <w:t> </w:t>
      </w:r>
      <w:r w:rsidRPr="00CC563B">
        <w:rPr>
          <w:b/>
          <w:i/>
          <w:snapToGrid w:val="0"/>
          <w:spacing w:val="20"/>
          <w:sz w:val="22"/>
        </w:rPr>
        <w:t>1</w:t>
      </w:r>
      <w:r w:rsidRPr="00045CC2">
        <w:rPr>
          <w:snapToGrid w:val="0"/>
          <w:spacing w:val="20"/>
          <w:sz w:val="22"/>
        </w:rPr>
        <w:t>)</w:t>
      </w:r>
      <w:r w:rsidRPr="00CC563B">
        <w:rPr>
          <w:rFonts w:hint="eastAsia"/>
          <w:snapToGrid w:val="0"/>
          <w:spacing w:val="20"/>
          <w:sz w:val="22"/>
          <w:lang w:eastAsia="zh-HK"/>
        </w:rPr>
        <w:t>。</w:t>
      </w:r>
      <w:r w:rsidRPr="00CC563B">
        <w:rPr>
          <w:rFonts w:hint="eastAsia"/>
          <w:snapToGrid w:val="0"/>
          <w:spacing w:val="20"/>
          <w:sz w:val="22"/>
        </w:rPr>
        <w:t>根據最新的調查結果，</w:t>
      </w:r>
      <w:r w:rsidRPr="00CC563B">
        <w:rPr>
          <w:rFonts w:hint="eastAsia"/>
          <w:snapToGrid w:val="0"/>
          <w:spacing w:val="20"/>
          <w:sz w:val="22"/>
          <w:lang w:eastAsia="zh-HK"/>
        </w:rPr>
        <w:t>大型企業預期</w:t>
      </w:r>
      <w:r w:rsidRPr="00CC563B">
        <w:rPr>
          <w:rFonts w:hint="eastAsia"/>
          <w:snapToGrid w:val="0"/>
          <w:spacing w:val="20"/>
          <w:sz w:val="22"/>
        </w:rPr>
        <w:t>二零二六年第一季</w:t>
      </w:r>
      <w:r w:rsidRPr="00CC563B">
        <w:rPr>
          <w:rFonts w:hint="eastAsia"/>
          <w:snapToGrid w:val="0"/>
          <w:spacing w:val="20"/>
          <w:sz w:val="22"/>
          <w:lang w:eastAsia="zh-HK"/>
        </w:rPr>
        <w:t>業務狀況勝於</w:t>
      </w:r>
      <w:r w:rsidRPr="00CC563B">
        <w:rPr>
          <w:rFonts w:hint="eastAsia"/>
          <w:snapToGrid w:val="0"/>
          <w:spacing w:val="20"/>
          <w:sz w:val="22"/>
        </w:rPr>
        <w:t>上一</w:t>
      </w:r>
      <w:r w:rsidRPr="00CC563B">
        <w:rPr>
          <w:rFonts w:hint="eastAsia"/>
          <w:snapToGrid w:val="0"/>
          <w:spacing w:val="20"/>
          <w:sz w:val="22"/>
          <w:lang w:eastAsia="zh-HK"/>
        </w:rPr>
        <w:t>季的比例</w:t>
      </w:r>
      <w:r w:rsidRPr="00CC563B">
        <w:rPr>
          <w:rFonts w:hint="eastAsia"/>
          <w:snapToGrid w:val="0"/>
          <w:spacing w:val="20"/>
          <w:sz w:val="22"/>
        </w:rPr>
        <w:t>，</w:t>
      </w:r>
      <w:r w:rsidRPr="00CC563B">
        <w:rPr>
          <w:rFonts w:hint="eastAsia"/>
          <w:snapToGrid w:val="0"/>
          <w:spacing w:val="20"/>
          <w:sz w:val="22"/>
          <w:lang w:eastAsia="zh-HK"/>
        </w:rPr>
        <w:t>較預期狀況遜於</w:t>
      </w:r>
      <w:r w:rsidRPr="00CC563B">
        <w:rPr>
          <w:rFonts w:hint="eastAsia"/>
          <w:snapToGrid w:val="0"/>
          <w:spacing w:val="20"/>
          <w:sz w:val="22"/>
        </w:rPr>
        <w:t>上一</w:t>
      </w:r>
      <w:r w:rsidRPr="00CC563B">
        <w:rPr>
          <w:rFonts w:hint="eastAsia"/>
          <w:snapToGrid w:val="0"/>
          <w:spacing w:val="20"/>
          <w:sz w:val="22"/>
          <w:lang w:eastAsia="zh-HK"/>
        </w:rPr>
        <w:t>季的比例</w:t>
      </w:r>
      <w:r w:rsidRPr="00CC563B">
        <w:rPr>
          <w:rFonts w:hint="eastAsia"/>
          <w:snapToGrid w:val="0"/>
          <w:spacing w:val="20"/>
          <w:sz w:val="22"/>
        </w:rPr>
        <w:t>低三</w:t>
      </w:r>
      <w:r w:rsidRPr="00CC563B">
        <w:rPr>
          <w:rFonts w:hint="eastAsia"/>
          <w:snapToGrid w:val="0"/>
          <w:spacing w:val="20"/>
          <w:sz w:val="22"/>
          <w:lang w:eastAsia="zh-HK"/>
        </w:rPr>
        <w:t>個百分點</w:t>
      </w:r>
      <w:r w:rsidRPr="00CC563B">
        <w:rPr>
          <w:snapToGrid w:val="0"/>
          <w:spacing w:val="20"/>
          <w:sz w:val="22"/>
        </w:rPr>
        <w:t>(</w:t>
      </w:r>
      <w:r w:rsidRPr="00CC563B">
        <w:rPr>
          <w:rFonts w:hint="eastAsia"/>
          <w:snapToGrid w:val="0"/>
          <w:spacing w:val="18"/>
          <w:sz w:val="22"/>
          <w:lang w:eastAsia="zh-HK"/>
        </w:rPr>
        <w:t>即淨差額為</w:t>
      </w:r>
      <w:r w:rsidRPr="00CC563B">
        <w:rPr>
          <w:snapToGrid w:val="0"/>
          <w:spacing w:val="18"/>
          <w:sz w:val="22"/>
        </w:rPr>
        <w:t>-3)</w:t>
      </w:r>
      <w:r w:rsidRPr="00CC563B">
        <w:rPr>
          <w:rFonts w:hint="eastAsia"/>
          <w:snapToGrid w:val="0"/>
          <w:spacing w:val="18"/>
          <w:sz w:val="22"/>
          <w:lang w:eastAsia="zh-HK"/>
        </w:rPr>
        <w:t>。這</w:t>
      </w:r>
      <w:r w:rsidRPr="00CC563B">
        <w:rPr>
          <w:rFonts w:hint="eastAsia"/>
          <w:snapToGrid w:val="0"/>
          <w:spacing w:val="18"/>
          <w:sz w:val="22"/>
        </w:rPr>
        <w:t>與上一輪的淨差額</w:t>
      </w:r>
      <w:r w:rsidRPr="00CC563B">
        <w:rPr>
          <w:snapToGrid w:val="0"/>
          <w:spacing w:val="18"/>
          <w:sz w:val="22"/>
        </w:rPr>
        <w:t>(-2)</w:t>
      </w:r>
      <w:r w:rsidRPr="00CC563B">
        <w:rPr>
          <w:rFonts w:hint="eastAsia"/>
          <w:snapToGrid w:val="0"/>
          <w:spacing w:val="18"/>
          <w:sz w:val="22"/>
        </w:rPr>
        <w:t>相若，並較二零二五年前數輪的淨差額</w:t>
      </w:r>
      <w:r w:rsidRPr="00CC563B">
        <w:rPr>
          <w:snapToGrid w:val="0"/>
          <w:spacing w:val="18"/>
          <w:sz w:val="22"/>
        </w:rPr>
        <w:t>(-10 </w:t>
      </w:r>
      <w:r w:rsidRPr="00CC563B">
        <w:rPr>
          <w:rFonts w:hint="eastAsia"/>
          <w:snapToGrid w:val="0"/>
          <w:spacing w:val="18"/>
          <w:sz w:val="22"/>
          <w:lang w:eastAsia="zh-HK"/>
        </w:rPr>
        <w:t>至</w:t>
      </w:r>
      <w:r w:rsidRPr="00CC563B">
        <w:rPr>
          <w:snapToGrid w:val="0"/>
          <w:spacing w:val="18"/>
          <w:sz w:val="22"/>
        </w:rPr>
        <w:t>-</w:t>
      </w:r>
      <w:r w:rsidRPr="00CC563B">
        <w:rPr>
          <w:rFonts w:hint="eastAsia"/>
          <w:snapToGrid w:val="0"/>
          <w:spacing w:val="20"/>
          <w:sz w:val="22"/>
        </w:rPr>
        <w:t>8)</w:t>
      </w:r>
      <w:r w:rsidR="002A2127">
        <w:rPr>
          <w:rFonts w:hint="eastAsia"/>
          <w:snapToGrid w:val="0"/>
          <w:spacing w:val="20"/>
          <w:sz w:val="22"/>
        </w:rPr>
        <w:t>明</w:t>
      </w:r>
      <w:r w:rsidRPr="00CC563B">
        <w:rPr>
          <w:rFonts w:hint="eastAsia"/>
          <w:snapToGrid w:val="0"/>
          <w:spacing w:val="20"/>
          <w:sz w:val="22"/>
          <w:lang w:eastAsia="zh-HK"/>
        </w:rPr>
        <w:t>顯上升。</w:t>
      </w:r>
    </w:p>
    <w:p w14:paraId="0E4CC37C"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lang w:eastAsia="zh-HK"/>
        </w:rPr>
      </w:pPr>
      <w:r w:rsidRPr="00CC563B">
        <w:rPr>
          <w:rFonts w:ascii="新細明體" w:hAnsi="新細明體" w:cs="新細明體" w:hint="eastAsia"/>
          <w:snapToGrid w:val="0"/>
          <w:spacing w:val="20"/>
          <w:sz w:val="22"/>
        </w:rPr>
        <w:t>與上一季相比，二零二六</w:t>
      </w:r>
      <w:r w:rsidRPr="00CC563B">
        <w:rPr>
          <w:rFonts w:ascii="新細明體" w:hAnsi="新細明體" w:cs="新細明體" w:hint="eastAsia"/>
          <w:snapToGrid w:val="0"/>
          <w:spacing w:val="20"/>
          <w:sz w:val="22"/>
          <w:lang w:eastAsia="zh-HK"/>
        </w:rPr>
        <w:t>年第一季</w:t>
      </w:r>
      <w:r w:rsidRPr="00CC563B">
        <w:rPr>
          <w:rFonts w:ascii="新細明體" w:hAnsi="新細明體" w:cs="新細明體" w:hint="eastAsia"/>
          <w:snapToGrid w:val="0"/>
          <w:spacing w:val="20"/>
          <w:sz w:val="22"/>
        </w:rPr>
        <w:t>大型企業營商氣氛顯示各行業</w:t>
      </w:r>
      <w:r w:rsidRPr="00CC563B">
        <w:rPr>
          <w:rFonts w:hint="eastAsia"/>
          <w:snapToGrid w:val="0"/>
          <w:spacing w:val="20"/>
          <w:sz w:val="22"/>
        </w:rPr>
        <w:t>的</w:t>
      </w:r>
      <w:r w:rsidRPr="00CC563B">
        <w:rPr>
          <w:rFonts w:ascii="新細明體" w:hAnsi="新細明體" w:cs="新細明體" w:hint="eastAsia"/>
          <w:snapToGrid w:val="0"/>
          <w:spacing w:val="20"/>
          <w:sz w:val="22"/>
        </w:rPr>
        <w:t>企業對業務狀況</w:t>
      </w:r>
      <w:r w:rsidRPr="00CC563B">
        <w:rPr>
          <w:rFonts w:ascii="新細明體" w:hAnsi="新細明體" w:cs="新細明體" w:hint="eastAsia"/>
          <w:snapToGrid w:val="0"/>
          <w:spacing w:val="20"/>
          <w:sz w:val="22"/>
          <w:lang w:eastAsia="zh-HK"/>
        </w:rPr>
        <w:t>持不同</w:t>
      </w:r>
      <w:r w:rsidRPr="00CC563B">
        <w:rPr>
          <w:rFonts w:ascii="新細明體" w:hAnsi="新細明體" w:cs="新細明體" w:hint="eastAsia"/>
          <w:snapToGrid w:val="0"/>
          <w:spacing w:val="20"/>
          <w:sz w:val="22"/>
        </w:rPr>
        <w:t>看法</w:t>
      </w:r>
      <w:r w:rsidRPr="009E5A7C">
        <w:rPr>
          <w:snapToGrid w:val="0"/>
          <w:spacing w:val="20"/>
          <w:sz w:val="22"/>
          <w:lang w:eastAsia="zh-HK"/>
        </w:rPr>
        <w:t>(</w:t>
      </w:r>
      <w:r w:rsidRPr="00CC563B">
        <w:rPr>
          <w:rFonts w:ascii="華康中黑體" w:eastAsia="華康中黑體" w:hAnsi="華康中黑體" w:cs="華康中黑體" w:hint="eastAsia"/>
          <w:i/>
          <w:snapToGrid w:val="0"/>
          <w:spacing w:val="20"/>
          <w:sz w:val="22"/>
        </w:rPr>
        <w:t>表</w:t>
      </w:r>
      <w:r w:rsidRPr="00CC563B">
        <w:rPr>
          <w:rFonts w:eastAsia="華康中黑體"/>
          <w:i/>
          <w:snapToGrid w:val="0"/>
          <w:spacing w:val="20"/>
          <w:sz w:val="22"/>
        </w:rPr>
        <w:t> </w:t>
      </w:r>
      <w:r w:rsidRPr="00CC563B">
        <w:rPr>
          <w:rFonts w:eastAsia="華康中黑體"/>
          <w:b/>
          <w:i/>
          <w:snapToGrid w:val="0"/>
          <w:spacing w:val="20"/>
          <w:sz w:val="22"/>
        </w:rPr>
        <w:t>1</w:t>
      </w:r>
      <w:r w:rsidRPr="009E5A7C">
        <w:rPr>
          <w:snapToGrid w:val="0"/>
          <w:spacing w:val="20"/>
          <w:sz w:val="22"/>
          <w:lang w:eastAsia="zh-HK"/>
        </w:rPr>
        <w:t>)</w:t>
      </w:r>
      <w:r w:rsidRPr="00CC563B">
        <w:rPr>
          <w:rFonts w:ascii="新細明體" w:hAnsi="新細明體" w:cs="新細明體" w:hint="eastAsia"/>
          <w:snapToGrid w:val="0"/>
          <w:spacing w:val="20"/>
          <w:sz w:val="22"/>
          <w:lang w:eastAsia="zh-HK"/>
        </w:rPr>
        <w:t>。「金融及保險業」對業務前景尤為樂觀，而「建</w:t>
      </w:r>
      <w:r w:rsidRPr="00CC563B">
        <w:rPr>
          <w:rFonts w:ascii="新細明體" w:hAnsi="新細明體" w:cs="新細明體" w:hint="eastAsia"/>
          <w:snapToGrid w:val="0"/>
          <w:spacing w:val="20"/>
          <w:sz w:val="22"/>
        </w:rPr>
        <w:t>造</w:t>
      </w:r>
      <w:r w:rsidRPr="00CC563B">
        <w:rPr>
          <w:rFonts w:ascii="新細明體" w:hAnsi="新細明體" w:cs="新細明體" w:hint="eastAsia"/>
          <w:snapToGrid w:val="0"/>
          <w:spacing w:val="20"/>
          <w:sz w:val="22"/>
          <w:lang w:eastAsia="zh-HK"/>
        </w:rPr>
        <w:t>業」</w:t>
      </w:r>
      <w:r w:rsidRPr="00CC563B">
        <w:rPr>
          <w:rFonts w:ascii="新細明體" w:hAnsi="新細明體" w:cs="新細明體" w:hint="eastAsia"/>
          <w:snapToGrid w:val="0"/>
          <w:spacing w:val="20"/>
          <w:sz w:val="22"/>
        </w:rPr>
        <w:t>和</w:t>
      </w:r>
      <w:r w:rsidRPr="00CC563B">
        <w:rPr>
          <w:rFonts w:ascii="新細明體" w:hAnsi="新細明體" w:cs="新細明體" w:hint="eastAsia"/>
          <w:snapToGrid w:val="0"/>
          <w:spacing w:val="20"/>
          <w:sz w:val="22"/>
          <w:lang w:eastAsia="zh-HK"/>
        </w:rPr>
        <w:t>「住宿</w:t>
      </w:r>
      <w:r w:rsidRPr="00CC563B">
        <w:rPr>
          <w:rFonts w:ascii="新細明體" w:hAnsi="新細明體" w:cs="新細明體" w:hint="eastAsia"/>
          <w:snapToGrid w:val="0"/>
          <w:spacing w:val="20"/>
          <w:sz w:val="22"/>
        </w:rPr>
        <w:t>及</w:t>
      </w:r>
      <w:r w:rsidRPr="00CC563B">
        <w:rPr>
          <w:rFonts w:ascii="新細明體" w:hAnsi="新細明體" w:cs="新細明體" w:hint="eastAsia"/>
          <w:snapToGrid w:val="0"/>
          <w:spacing w:val="20"/>
          <w:sz w:val="22"/>
          <w:lang w:eastAsia="zh-HK"/>
        </w:rPr>
        <w:t>膳食服務業」則</w:t>
      </w:r>
      <w:r w:rsidRPr="00CC563B">
        <w:rPr>
          <w:rFonts w:ascii="新細明體" w:hAnsi="新細明體" w:cs="新細明體" w:hint="eastAsia"/>
          <w:snapToGrid w:val="0"/>
          <w:spacing w:val="20"/>
          <w:sz w:val="22"/>
        </w:rPr>
        <w:t>明顯</w:t>
      </w:r>
      <w:r w:rsidRPr="00CC563B">
        <w:rPr>
          <w:rFonts w:ascii="新細明體" w:hAnsi="新細明體" w:cs="新細明體" w:hint="eastAsia"/>
          <w:snapToGrid w:val="0"/>
          <w:spacing w:val="20"/>
          <w:sz w:val="22"/>
          <w:lang w:eastAsia="zh-HK"/>
        </w:rPr>
        <w:t>有</w:t>
      </w:r>
      <w:r w:rsidRPr="00CC563B">
        <w:rPr>
          <w:rFonts w:ascii="新細明體" w:hAnsi="新細明體" w:cs="新細明體" w:hint="eastAsia"/>
          <w:snapToGrid w:val="0"/>
          <w:spacing w:val="20"/>
          <w:sz w:val="22"/>
        </w:rPr>
        <w:t>較多</w:t>
      </w:r>
      <w:r w:rsidRPr="00CC563B">
        <w:rPr>
          <w:rFonts w:ascii="新細明體" w:hAnsi="新細明體" w:cs="新細明體" w:hint="eastAsia"/>
          <w:snapToGrid w:val="0"/>
          <w:spacing w:val="20"/>
          <w:sz w:val="22"/>
          <w:lang w:eastAsia="zh-HK"/>
        </w:rPr>
        <w:t>企業預期</w:t>
      </w:r>
      <w:r w:rsidRPr="00CC563B">
        <w:rPr>
          <w:rFonts w:ascii="新細明體" w:hAnsi="新細明體" w:cs="新細明體" w:hint="eastAsia"/>
          <w:snapToGrid w:val="0"/>
          <w:spacing w:val="20"/>
          <w:sz w:val="22"/>
        </w:rPr>
        <w:t>業務</w:t>
      </w:r>
      <w:r w:rsidRPr="00CC563B">
        <w:rPr>
          <w:rFonts w:ascii="新細明體" w:hAnsi="新細明體" w:cs="新細明體" w:hint="eastAsia"/>
          <w:snapToGrid w:val="0"/>
          <w:spacing w:val="20"/>
          <w:sz w:val="22"/>
          <w:lang w:eastAsia="zh-HK"/>
        </w:rPr>
        <w:t>狀況較</w:t>
      </w:r>
      <w:r w:rsidRPr="00CC563B">
        <w:rPr>
          <w:rFonts w:ascii="新細明體" w:hAnsi="新細明體" w:cs="新細明體" w:hint="eastAsia"/>
          <w:snapToGrid w:val="0"/>
          <w:spacing w:val="20"/>
          <w:sz w:val="22"/>
        </w:rPr>
        <w:t>差</w:t>
      </w:r>
      <w:r w:rsidRPr="00CC563B">
        <w:rPr>
          <w:rFonts w:ascii="新細明體" w:hAnsi="新細明體" w:cs="新細明體" w:hint="eastAsia"/>
          <w:snapToGrid w:val="0"/>
          <w:spacing w:val="20"/>
          <w:sz w:val="22"/>
          <w:lang w:eastAsia="zh-HK"/>
        </w:rPr>
        <w:t>。招聘意</w:t>
      </w:r>
      <w:r w:rsidRPr="00CC563B">
        <w:rPr>
          <w:rFonts w:ascii="新細明體" w:hAnsi="新細明體" w:cs="新細明體" w:hint="eastAsia"/>
          <w:snapToGrid w:val="0"/>
          <w:spacing w:val="20"/>
          <w:sz w:val="22"/>
        </w:rPr>
        <w:t>欲</w:t>
      </w:r>
      <w:r w:rsidRPr="00CC563B">
        <w:rPr>
          <w:rFonts w:ascii="新細明體" w:hAnsi="新細明體" w:cs="新細明體" w:hint="eastAsia"/>
          <w:snapToGrid w:val="0"/>
          <w:spacing w:val="20"/>
          <w:sz w:val="22"/>
          <w:lang w:eastAsia="zh-HK"/>
        </w:rPr>
        <w:t>方面，最近的整體情況較上一輪稍為減弱，但大致與</w:t>
      </w:r>
      <w:r w:rsidRPr="00CC563B">
        <w:rPr>
          <w:rFonts w:ascii="新細明體" w:hAnsi="新細明體" w:cs="新細明體" w:hint="eastAsia"/>
          <w:snapToGrid w:val="0"/>
          <w:spacing w:val="20"/>
          <w:sz w:val="22"/>
        </w:rPr>
        <w:t>二零二五年</w:t>
      </w:r>
      <w:r w:rsidRPr="00CC563B">
        <w:rPr>
          <w:rFonts w:ascii="新細明體" w:hAnsi="新細明體" w:cs="新細明體" w:hint="eastAsia"/>
          <w:snapToGrid w:val="0"/>
          <w:spacing w:val="20"/>
          <w:sz w:val="22"/>
          <w:lang w:eastAsia="zh-HK"/>
        </w:rPr>
        <w:t>年初的情況相近</w:t>
      </w:r>
      <w:r w:rsidRPr="00CC563B">
        <w:rPr>
          <w:snapToGrid w:val="0"/>
          <w:spacing w:val="20"/>
          <w:sz w:val="22"/>
          <w:lang w:eastAsia="zh-HK"/>
        </w:rPr>
        <w:t>(</w:t>
      </w:r>
      <w:r w:rsidRPr="00CC563B">
        <w:rPr>
          <w:rFonts w:ascii="華康中黑體" w:eastAsia="華康中黑體" w:hAnsi="華康中黑體" w:cs="華康中黑體" w:hint="eastAsia"/>
          <w:i/>
          <w:snapToGrid w:val="0"/>
          <w:spacing w:val="20"/>
          <w:sz w:val="22"/>
        </w:rPr>
        <w:t>表</w:t>
      </w:r>
      <w:r w:rsidRPr="00CC563B">
        <w:rPr>
          <w:rFonts w:eastAsia="華康中黑體"/>
          <w:i/>
          <w:snapToGrid w:val="0"/>
          <w:spacing w:val="20"/>
          <w:sz w:val="22"/>
        </w:rPr>
        <w:t> </w:t>
      </w:r>
      <w:r w:rsidRPr="00CC563B">
        <w:rPr>
          <w:rFonts w:eastAsia="華康中黑體" w:hint="eastAsia"/>
          <w:b/>
          <w:i/>
          <w:snapToGrid w:val="0"/>
          <w:spacing w:val="20"/>
          <w:sz w:val="22"/>
        </w:rPr>
        <w:t>2</w:t>
      </w:r>
      <w:r w:rsidRPr="00CC563B">
        <w:rPr>
          <w:snapToGrid w:val="0"/>
          <w:spacing w:val="20"/>
          <w:sz w:val="22"/>
          <w:lang w:eastAsia="zh-HK"/>
        </w:rPr>
        <w:t>)</w:t>
      </w:r>
      <w:r w:rsidRPr="00CC563B">
        <w:rPr>
          <w:rFonts w:hint="eastAsia"/>
          <w:snapToGrid w:val="0"/>
          <w:spacing w:val="20"/>
          <w:sz w:val="22"/>
          <w:lang w:eastAsia="zh-HK"/>
        </w:rPr>
        <w:t>。</w:t>
      </w:r>
    </w:p>
    <w:tbl>
      <w:tblPr>
        <w:tblW w:w="9180" w:type="dxa"/>
        <w:tblLayout w:type="fixed"/>
        <w:tblLook w:val="04A0" w:firstRow="1" w:lastRow="0" w:firstColumn="1" w:lastColumn="0" w:noHBand="0" w:noVBand="1"/>
      </w:tblPr>
      <w:tblGrid>
        <w:gridCol w:w="9180"/>
      </w:tblGrid>
      <w:tr w:rsidR="00CC563B" w:rsidRPr="00CC563B" w14:paraId="7E4A5F43" w14:textId="77777777" w:rsidTr="00265E5C">
        <w:tc>
          <w:tcPr>
            <w:tcW w:w="9180" w:type="dxa"/>
            <w:shd w:val="clear" w:color="auto" w:fill="auto"/>
          </w:tcPr>
          <w:p w14:paraId="31F4255E" w14:textId="77777777" w:rsidR="00CC563B" w:rsidRPr="00CC563B" w:rsidRDefault="00CC563B" w:rsidP="00CC563B">
            <w:pPr>
              <w:keepNext/>
              <w:tabs>
                <w:tab w:val="clear" w:pos="936"/>
                <w:tab w:val="clear" w:pos="1560"/>
                <w:tab w:val="clear" w:pos="2184"/>
              </w:tabs>
              <w:topLinePunct/>
              <w:spacing w:after="0" w:line="240" w:lineRule="auto"/>
              <w:ind w:left="737" w:right="113" w:hanging="624"/>
              <w:jc w:val="center"/>
              <w:rPr>
                <w:rFonts w:eastAsia="華康中黑體"/>
                <w:b/>
                <w:snapToGrid w:val="0"/>
                <w:spacing w:val="20"/>
                <w:sz w:val="21"/>
                <w:szCs w:val="21"/>
                <w:lang w:eastAsia="zh-HK"/>
              </w:rPr>
            </w:pPr>
            <w:r w:rsidRPr="00CC563B">
              <w:rPr>
                <w:rFonts w:eastAsia="華康中黑體" w:hint="eastAsia"/>
                <w:snapToGrid w:val="0"/>
                <w:spacing w:val="20"/>
                <w:sz w:val="22"/>
              </w:rPr>
              <w:t>圖</w:t>
            </w:r>
            <w:r w:rsidRPr="00CC563B">
              <w:rPr>
                <w:rFonts w:eastAsia="華康中黑體"/>
                <w:b/>
                <w:snapToGrid w:val="0"/>
                <w:spacing w:val="20"/>
                <w:sz w:val="22"/>
              </w:rPr>
              <w:t>1</w:t>
            </w:r>
            <w:r w:rsidRPr="00CC563B">
              <w:rPr>
                <w:rFonts w:eastAsia="華康中黑體" w:hint="eastAsia"/>
                <w:b/>
                <w:snapToGrid w:val="0"/>
                <w:spacing w:val="20"/>
                <w:sz w:val="22"/>
              </w:rPr>
              <w:t>：</w:t>
            </w:r>
            <w:r w:rsidRPr="00CC563B">
              <w:rPr>
                <w:rFonts w:ascii="新細明體" w:eastAsia="華康中黑體" w:hAnsi="新細明體" w:cs="新細明體" w:hint="eastAsia"/>
                <w:snapToGrid w:val="0"/>
                <w:spacing w:val="20"/>
                <w:sz w:val="22"/>
                <w:lang w:eastAsia="zh-HK"/>
              </w:rPr>
              <w:t>與</w:t>
            </w:r>
            <w:r w:rsidRPr="00CC563B">
              <w:rPr>
                <w:rFonts w:ascii="新細明體" w:eastAsia="華康中黑體" w:hAnsi="新細明體" w:cs="新細明體" w:hint="eastAsia"/>
                <w:snapToGrid w:val="0"/>
                <w:spacing w:val="20"/>
                <w:sz w:val="22"/>
              </w:rPr>
              <w:t>二零二五年較早時的</w:t>
            </w:r>
            <w:r w:rsidRPr="00CC563B">
              <w:rPr>
                <w:rFonts w:ascii="新細明體" w:eastAsia="華康中黑體" w:hAnsi="新細明體" w:cs="新細明體" w:hint="eastAsia"/>
                <w:snapToGrid w:val="0"/>
                <w:spacing w:val="20"/>
                <w:sz w:val="22"/>
                <w:lang w:eastAsia="zh-HK"/>
              </w:rPr>
              <w:t>情</w:t>
            </w:r>
            <w:r w:rsidRPr="00CC563B">
              <w:rPr>
                <w:rFonts w:ascii="新細明體" w:eastAsia="華康中黑體" w:hAnsi="新細明體" w:cs="新細明體" w:hint="eastAsia"/>
                <w:snapToGrid w:val="0"/>
                <w:spacing w:val="20"/>
                <w:sz w:val="22"/>
              </w:rPr>
              <w:t>況相比</w:t>
            </w:r>
            <w:r w:rsidRPr="00CC563B">
              <w:rPr>
                <w:rFonts w:eastAsia="華康中黑體" w:hint="eastAsia"/>
                <w:b/>
                <w:snapToGrid w:val="0"/>
                <w:spacing w:val="20"/>
                <w:sz w:val="22"/>
                <w:lang w:eastAsia="zh-HK"/>
              </w:rPr>
              <w:t>，</w:t>
            </w:r>
            <w:r w:rsidRPr="00CC563B">
              <w:rPr>
                <w:rFonts w:ascii="新細明體" w:eastAsia="華康中黑體" w:hAnsi="新細明體" w:cs="新細明體" w:hint="eastAsia"/>
                <w:snapToGrid w:val="0"/>
                <w:spacing w:val="20"/>
                <w:sz w:val="22"/>
                <w:lang w:eastAsia="zh-HK"/>
              </w:rPr>
              <w:t>大型企業的營商氣氛明顯改善</w:t>
            </w:r>
          </w:p>
        </w:tc>
      </w:tr>
      <w:tr w:rsidR="00CC563B" w:rsidRPr="00CC563B" w14:paraId="6A1573BF" w14:textId="77777777" w:rsidTr="00265E5C">
        <w:trPr>
          <w:trHeight w:val="6834"/>
        </w:trPr>
        <w:tc>
          <w:tcPr>
            <w:tcW w:w="9180" w:type="dxa"/>
            <w:shd w:val="clear" w:color="auto" w:fill="auto"/>
          </w:tcPr>
          <w:p w14:paraId="06357E8F" w14:textId="77777777" w:rsidR="00CC563B" w:rsidRPr="00CC563B" w:rsidRDefault="00CC563B" w:rsidP="00CC563B">
            <w:pPr>
              <w:topLinePunct/>
              <w:autoSpaceDE w:val="0"/>
              <w:autoSpaceDN w:val="0"/>
              <w:spacing w:after="0" w:line="240" w:lineRule="auto"/>
              <w:ind w:rightChars="14" w:right="42"/>
              <w:jc w:val="center"/>
              <w:rPr>
                <w:noProof/>
              </w:rPr>
            </w:pPr>
            <w:r w:rsidRPr="00CC563B">
              <w:rPr>
                <w:noProof/>
              </w:rPr>
              <w:drawing>
                <wp:inline distT="0" distB="0" distL="0" distR="0" wp14:anchorId="7EB94A0C" wp14:editId="255AB42F">
                  <wp:extent cx="5140820" cy="3661200"/>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0820" cy="3661200"/>
                          </a:xfrm>
                          <a:prstGeom prst="rect">
                            <a:avLst/>
                          </a:prstGeom>
                          <a:noFill/>
                          <a:ln>
                            <a:noFill/>
                          </a:ln>
                        </pic:spPr>
                      </pic:pic>
                    </a:graphicData>
                  </a:graphic>
                </wp:inline>
              </w:drawing>
            </w:r>
          </w:p>
          <w:p w14:paraId="4D44F91C" w14:textId="77777777" w:rsidR="00CC563B" w:rsidRPr="00CC563B" w:rsidRDefault="00CC563B" w:rsidP="00CC563B">
            <w:pPr>
              <w:tabs>
                <w:tab w:val="clear" w:pos="936"/>
                <w:tab w:val="clear" w:pos="1560"/>
                <w:tab w:val="clear" w:pos="2184"/>
                <w:tab w:val="clear" w:pos="2808"/>
                <w:tab w:val="left" w:pos="700"/>
              </w:tabs>
              <w:topLinePunct/>
              <w:snapToGrid w:val="0"/>
              <w:spacing w:after="0" w:line="240" w:lineRule="auto"/>
              <w:ind w:leftChars="35" w:left="1126" w:right="113" w:hanging="1021"/>
              <w:rPr>
                <w:noProof/>
                <w:spacing w:val="12"/>
                <w:kern w:val="18"/>
                <w:sz w:val="16"/>
              </w:rPr>
            </w:pPr>
          </w:p>
        </w:tc>
      </w:tr>
    </w:tbl>
    <w:p w14:paraId="540658A7"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p>
    <w:p w14:paraId="1283D896"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CC563B">
        <w:rPr>
          <w:noProof/>
          <w:snapToGrid w:val="0"/>
          <w:spacing w:val="20"/>
          <w:sz w:val="22"/>
        </w:rPr>
        <mc:AlternateContent>
          <mc:Choice Requires="wps">
            <w:drawing>
              <wp:anchor distT="4294967293" distB="4294967293" distL="114300" distR="114300" simplePos="0" relativeHeight="251660288" behindDoc="0" locked="0" layoutInCell="1" allowOverlap="1" wp14:anchorId="23BF3270" wp14:editId="78FEB179">
                <wp:simplePos x="0" y="0"/>
                <wp:positionH relativeFrom="column">
                  <wp:posOffset>2154555</wp:posOffset>
                </wp:positionH>
                <wp:positionV relativeFrom="paragraph">
                  <wp:posOffset>97526</wp:posOffset>
                </wp:positionV>
                <wp:extent cx="1494790" cy="0"/>
                <wp:effectExtent l="0" t="0" r="29210" b="19050"/>
                <wp:wrapNone/>
                <wp:docPr id="16" name="直線接點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50B5FBB" id="直線接點 16"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6718A4C4" w14:textId="77777777" w:rsidR="00CC563B" w:rsidRPr="00CC563B" w:rsidRDefault="00CC563B" w:rsidP="00CC563B">
      <w:pPr>
        <w:tabs>
          <w:tab w:val="clear" w:pos="936"/>
          <w:tab w:val="clear" w:pos="1560"/>
          <w:tab w:val="clear" w:pos="2184"/>
          <w:tab w:val="clear" w:pos="2808"/>
          <w:tab w:val="left" w:pos="2495"/>
        </w:tabs>
        <w:topLinePunct/>
        <w:snapToGrid w:val="0"/>
        <w:spacing w:after="90" w:line="200" w:lineRule="atLeast"/>
        <w:ind w:left="680" w:right="113" w:hanging="567"/>
        <w:rPr>
          <w:spacing w:val="20"/>
          <w:kern w:val="2"/>
          <w:sz w:val="18"/>
        </w:rPr>
      </w:pPr>
      <w:r w:rsidRPr="00CC563B">
        <w:rPr>
          <w:spacing w:val="20"/>
          <w:kern w:val="2"/>
          <w:sz w:val="18"/>
        </w:rPr>
        <w:t>(1)</w:t>
      </w:r>
      <w:r w:rsidRPr="00CC563B">
        <w:rPr>
          <w:spacing w:val="20"/>
          <w:kern w:val="2"/>
          <w:sz w:val="18"/>
        </w:rPr>
        <w:tab/>
      </w:r>
      <w:r w:rsidRPr="00CC563B">
        <w:rPr>
          <w:rFonts w:hint="eastAsia"/>
          <w:spacing w:val="20"/>
          <w:kern w:val="2"/>
          <w:sz w:val="18"/>
        </w:rPr>
        <w:t>業務展望按季統計調查收集約</w:t>
      </w:r>
      <w:r w:rsidRPr="00CC563B">
        <w:rPr>
          <w:spacing w:val="20"/>
          <w:kern w:val="2"/>
          <w:sz w:val="18"/>
        </w:rPr>
        <w:t> 500 </w:t>
      </w:r>
      <w:r w:rsidRPr="00CC563B">
        <w:rPr>
          <w:rFonts w:hint="eastAsia"/>
          <w:spacing w:val="20"/>
          <w:kern w:val="2"/>
          <w:sz w:val="18"/>
        </w:rPr>
        <w:t>至</w:t>
      </w:r>
      <w:r w:rsidRPr="00CC563B">
        <w:rPr>
          <w:spacing w:val="20"/>
          <w:kern w:val="2"/>
          <w:sz w:val="18"/>
        </w:rPr>
        <w:t> 600 </w:t>
      </w:r>
      <w:r w:rsidRPr="00CC563B">
        <w:rPr>
          <w:rFonts w:hint="eastAsia"/>
          <w:spacing w:val="20"/>
          <w:kern w:val="2"/>
          <w:sz w:val="18"/>
        </w:rPr>
        <w:t>家大型機構單位對短期業務前景的意見。受訪企業所提供的意見已撇除季節性因素的影響。</w:t>
      </w:r>
    </w:p>
    <w:p w14:paraId="3775EED6" w14:textId="77777777" w:rsidR="00CC563B" w:rsidRPr="00CC563B" w:rsidRDefault="00CC563B" w:rsidP="00CC563B">
      <w:pPr>
        <w:pageBreakBefore/>
        <w:tabs>
          <w:tab w:val="clear" w:pos="936"/>
          <w:tab w:val="clear" w:pos="1560"/>
          <w:tab w:val="clear" w:pos="2184"/>
          <w:tab w:val="clear" w:pos="2808"/>
        </w:tabs>
        <w:overflowPunct/>
        <w:adjustRightInd/>
        <w:spacing w:after="240" w:line="240" w:lineRule="auto"/>
        <w:ind w:leftChars="20" w:left="60" w:rightChars="20" w:right="60"/>
        <w:jc w:val="left"/>
        <w:textAlignment w:val="auto"/>
        <w:rPr>
          <w:rFonts w:eastAsia="華康中黑體"/>
          <w:b/>
          <w:noProof/>
          <w:spacing w:val="20"/>
          <w:u w:color="0000FF"/>
        </w:rPr>
      </w:pPr>
      <w:r w:rsidRPr="00CC563B">
        <w:rPr>
          <w:rFonts w:eastAsia="華康中黑體"/>
          <w:noProof/>
          <w:spacing w:val="20"/>
          <w:u w:color="0000FF"/>
        </w:rPr>
        <w:lastRenderedPageBreak/>
        <mc:AlternateContent>
          <mc:Choice Requires="wps">
            <w:drawing>
              <wp:anchor distT="0" distB="0" distL="114300" distR="114300" simplePos="0" relativeHeight="251661312" behindDoc="1" locked="0" layoutInCell="1" allowOverlap="1" wp14:anchorId="5DEB7766" wp14:editId="2D507B6B">
                <wp:simplePos x="0" y="0"/>
                <wp:positionH relativeFrom="column">
                  <wp:posOffset>-215188</wp:posOffset>
                </wp:positionH>
                <wp:positionV relativeFrom="paragraph">
                  <wp:posOffset>-120015</wp:posOffset>
                </wp:positionV>
                <wp:extent cx="6191250" cy="9486900"/>
                <wp:effectExtent l="0" t="0" r="19050" b="19050"/>
                <wp:wrapNone/>
                <wp:docPr id="1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C98A7F1" id="Rectangle 6" o:spid="_x0000_s1026" style="position:absolute;margin-left:-16.95pt;margin-top:-9.4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"/>
            </w:pict>
          </mc:Fallback>
        </mc:AlternateContent>
      </w:r>
      <w:r w:rsidRPr="00CC563B">
        <w:rPr>
          <w:rFonts w:eastAsia="華康中黑體"/>
          <w:noProof/>
          <w:spacing w:val="20"/>
          <w:u w:color="0000FF"/>
        </w:rPr>
        <w:t>專題</w:t>
      </w:r>
      <w:r w:rsidRPr="00CC563B">
        <w:rPr>
          <w:rFonts w:eastAsia="華康中黑體" w:hint="eastAsia"/>
          <w:b/>
          <w:noProof/>
          <w:spacing w:val="20"/>
          <w:u w:color="0000FF"/>
        </w:rPr>
        <w:t>1.</w:t>
      </w:r>
      <w:r w:rsidRPr="00CC563B">
        <w:rPr>
          <w:rFonts w:eastAsia="華康中黑體"/>
          <w:b/>
          <w:noProof/>
          <w:spacing w:val="20"/>
          <w:u w:color="0000FF"/>
        </w:rPr>
        <w:t>1</w:t>
      </w:r>
      <w:r w:rsidRPr="00CC563B">
        <w:rPr>
          <w:rFonts w:eastAsia="華康中黑體" w:hint="eastAsia"/>
          <w:b/>
          <w:noProof/>
          <w:spacing w:val="20"/>
          <w:u w:color="0000FF"/>
        </w:rPr>
        <w:t xml:space="preserve"> (</w:t>
      </w:r>
      <w:r w:rsidRPr="00CC563B">
        <w:rPr>
          <w:rFonts w:eastAsia="華康中黑體" w:hint="eastAsia"/>
          <w:noProof/>
          <w:spacing w:val="20"/>
          <w:u w:color="0000FF"/>
        </w:rPr>
        <w:t>續</w:t>
      </w:r>
      <w:r w:rsidRPr="00CC563B">
        <w:rPr>
          <w:rFonts w:eastAsia="華康中黑體" w:hint="eastAsia"/>
          <w:b/>
          <w:noProof/>
          <w:spacing w:val="20"/>
          <w:u w:color="0000FF"/>
        </w:rPr>
        <w:t>)</w:t>
      </w:r>
    </w:p>
    <w:tbl>
      <w:tblPr>
        <w:tblW w:w="9464" w:type="dxa"/>
        <w:tblInd w:w="-142" w:type="dxa"/>
        <w:tblLayout w:type="fixed"/>
        <w:tblLook w:val="04A0" w:firstRow="1" w:lastRow="0" w:firstColumn="1" w:lastColumn="0" w:noHBand="0" w:noVBand="1"/>
      </w:tblPr>
      <w:tblGrid>
        <w:gridCol w:w="959"/>
        <w:gridCol w:w="3719"/>
        <w:gridCol w:w="959"/>
        <w:gridCol w:w="3827"/>
      </w:tblGrid>
      <w:tr w:rsidR="00CC563B" w:rsidRPr="00CC563B" w14:paraId="472D2043" w14:textId="77777777" w:rsidTr="00265E5C">
        <w:trPr>
          <w:trHeight w:val="602"/>
        </w:trPr>
        <w:tc>
          <w:tcPr>
            <w:tcW w:w="4678" w:type="dxa"/>
            <w:gridSpan w:val="2"/>
            <w:shd w:val="clear" w:color="auto" w:fill="auto"/>
          </w:tcPr>
          <w:p w14:paraId="42585658" w14:textId="77777777" w:rsidR="00CC563B" w:rsidRPr="00CC563B" w:rsidRDefault="00CC563B" w:rsidP="00CC563B">
            <w:pPr>
              <w:tabs>
                <w:tab w:val="clear" w:pos="936"/>
                <w:tab w:val="clear" w:pos="1560"/>
                <w:tab w:val="clear" w:pos="2184"/>
              </w:tabs>
              <w:topLinePunct/>
              <w:spacing w:before="120" w:after="120" w:line="0" w:lineRule="atLeast"/>
              <w:ind w:left="181" w:right="113" w:hanging="68"/>
              <w:jc w:val="center"/>
              <w:rPr>
                <w:rFonts w:eastAsia="華康中黑體"/>
                <w:b/>
                <w:snapToGrid w:val="0"/>
                <w:spacing w:val="0"/>
                <w:kern w:val="2"/>
                <w:sz w:val="22"/>
                <w:lang w:val="en-GB" w:eastAsia="zh-HK"/>
              </w:rPr>
            </w:pPr>
            <w:r w:rsidRPr="00CC563B">
              <w:rPr>
                <w:rFonts w:eastAsia="華康中黑體" w:hint="eastAsia"/>
                <w:snapToGrid w:val="0"/>
                <w:spacing w:val="20"/>
                <w:sz w:val="22"/>
              </w:rPr>
              <w:t>表</w:t>
            </w:r>
            <w:r w:rsidRPr="00CC563B">
              <w:rPr>
                <w:rFonts w:eastAsia="華康中黑體"/>
                <w:b/>
                <w:snapToGrid w:val="0"/>
                <w:spacing w:val="20"/>
                <w:sz w:val="22"/>
              </w:rPr>
              <w:t>1</w:t>
            </w:r>
            <w:r w:rsidRPr="00CC563B">
              <w:rPr>
                <w:rFonts w:eastAsia="華康中黑體" w:hint="eastAsia"/>
                <w:b/>
                <w:snapToGrid w:val="0"/>
                <w:spacing w:val="20"/>
                <w:sz w:val="22"/>
              </w:rPr>
              <w:t>：</w:t>
            </w:r>
            <w:r w:rsidRPr="00CC563B">
              <w:rPr>
                <w:rFonts w:eastAsia="華康中黑體" w:hint="eastAsia"/>
                <w:snapToGrid w:val="0"/>
                <w:spacing w:val="20"/>
                <w:sz w:val="22"/>
              </w:rPr>
              <w:t>大型企業營商氣氛</w:t>
            </w:r>
            <w:r w:rsidRPr="00CC563B">
              <w:rPr>
                <w:rFonts w:eastAsia="華康中黑體" w:hint="eastAsia"/>
                <w:snapToGrid w:val="0"/>
                <w:spacing w:val="20"/>
                <w:sz w:val="22"/>
                <w:lang w:eastAsia="zh-HK"/>
              </w:rPr>
              <w:t>顯示</w:t>
            </w:r>
            <w:r w:rsidRPr="00CC563B">
              <w:rPr>
                <w:rFonts w:ascii="新細明體" w:eastAsia="華康中黑體" w:hAnsi="新細明體" w:cs="新細明體" w:hint="eastAsia"/>
                <w:snapToGrid w:val="0"/>
                <w:spacing w:val="20"/>
                <w:sz w:val="22"/>
              </w:rPr>
              <w:t>各</w:t>
            </w:r>
            <w:r w:rsidRPr="00CC563B">
              <w:rPr>
                <w:rFonts w:eastAsia="華康中黑體" w:hint="eastAsia"/>
                <w:snapToGrid w:val="0"/>
                <w:spacing w:val="20"/>
                <w:sz w:val="22"/>
              </w:rPr>
              <w:t>行業的</w:t>
            </w:r>
            <w:r w:rsidRPr="00CC563B">
              <w:rPr>
                <w:rFonts w:eastAsia="華康中黑體" w:hint="eastAsia"/>
                <w:snapToGrid w:val="0"/>
                <w:spacing w:val="20"/>
                <w:sz w:val="22"/>
                <w:lang w:eastAsia="zh-HK"/>
              </w:rPr>
              <w:t>企業對業務狀況持不同看法</w:t>
            </w:r>
          </w:p>
        </w:tc>
        <w:tc>
          <w:tcPr>
            <w:tcW w:w="4786" w:type="dxa"/>
            <w:gridSpan w:val="2"/>
            <w:shd w:val="clear" w:color="auto" w:fill="auto"/>
          </w:tcPr>
          <w:p w14:paraId="51F53633" w14:textId="77777777" w:rsidR="00CC563B" w:rsidRPr="00CC563B" w:rsidRDefault="00CC563B" w:rsidP="00CC563B">
            <w:pPr>
              <w:keepNext/>
              <w:tabs>
                <w:tab w:val="clear" w:pos="936"/>
                <w:tab w:val="clear" w:pos="1560"/>
                <w:tab w:val="clear" w:pos="2184"/>
              </w:tabs>
              <w:topLinePunct/>
              <w:spacing w:before="120" w:after="240" w:line="0" w:lineRule="atLeast"/>
              <w:ind w:left="204" w:right="113" w:hanging="91"/>
              <w:jc w:val="center"/>
              <w:rPr>
                <w:rFonts w:eastAsia="華康中黑體"/>
                <w:b/>
                <w:snapToGrid w:val="0"/>
                <w:spacing w:val="0"/>
                <w:kern w:val="2"/>
                <w:sz w:val="22"/>
                <w:lang w:val="en-GB"/>
              </w:rPr>
            </w:pPr>
            <w:r w:rsidRPr="00CC563B">
              <w:rPr>
                <w:rFonts w:eastAsia="華康中黑體" w:hint="eastAsia"/>
                <w:snapToGrid w:val="0"/>
                <w:spacing w:val="20"/>
                <w:sz w:val="22"/>
              </w:rPr>
              <w:t>表</w:t>
            </w:r>
            <w:r w:rsidRPr="00CC563B">
              <w:rPr>
                <w:rFonts w:eastAsia="華康中黑體"/>
                <w:b/>
                <w:snapToGrid w:val="0"/>
                <w:spacing w:val="20"/>
                <w:sz w:val="22"/>
              </w:rPr>
              <w:t>2</w:t>
            </w:r>
            <w:r w:rsidRPr="00CC563B">
              <w:rPr>
                <w:rFonts w:eastAsia="華康中黑體" w:hint="eastAsia"/>
                <w:b/>
                <w:snapToGrid w:val="0"/>
                <w:spacing w:val="20"/>
                <w:sz w:val="22"/>
              </w:rPr>
              <w:t>：</w:t>
            </w:r>
            <w:r w:rsidRPr="00CC563B">
              <w:rPr>
                <w:rFonts w:eastAsia="華康中黑體" w:hint="eastAsia"/>
                <w:snapToGrid w:val="0"/>
                <w:spacing w:val="20"/>
                <w:sz w:val="22"/>
                <w:lang w:eastAsia="zh-HK"/>
              </w:rPr>
              <w:t>大型企業的</w:t>
            </w:r>
            <w:r w:rsidRPr="00CC563B">
              <w:rPr>
                <w:rFonts w:eastAsia="華康中黑體" w:hint="eastAsia"/>
                <w:snapToGrid w:val="0"/>
                <w:spacing w:val="20"/>
                <w:sz w:val="22"/>
              </w:rPr>
              <w:t>整體</w:t>
            </w:r>
            <w:r w:rsidRPr="00CC563B">
              <w:rPr>
                <w:rFonts w:eastAsia="華康中黑體" w:hint="eastAsia"/>
                <w:snapToGrid w:val="0"/>
                <w:spacing w:val="20"/>
                <w:sz w:val="22"/>
                <w:lang w:eastAsia="zh-HK"/>
              </w:rPr>
              <w:t>招聘意欲</w:t>
            </w:r>
            <w:r w:rsidRPr="00CC563B">
              <w:rPr>
                <w:rFonts w:eastAsia="華康中黑體"/>
                <w:snapToGrid w:val="0"/>
                <w:spacing w:val="20"/>
                <w:sz w:val="22"/>
                <w:lang w:eastAsia="zh-HK"/>
              </w:rPr>
              <w:br/>
            </w:r>
            <w:r w:rsidRPr="00CC563B">
              <w:rPr>
                <w:rFonts w:eastAsia="華康中黑體" w:hint="eastAsia"/>
                <w:snapToGrid w:val="0"/>
                <w:spacing w:val="20"/>
                <w:sz w:val="22"/>
              </w:rPr>
              <w:t>稍</w:t>
            </w:r>
            <w:r w:rsidRPr="00CC563B">
              <w:rPr>
                <w:rFonts w:eastAsia="華康中黑體" w:hint="eastAsia"/>
                <w:snapToGrid w:val="0"/>
                <w:spacing w:val="20"/>
                <w:sz w:val="22"/>
                <w:lang w:eastAsia="zh-HK"/>
              </w:rPr>
              <w:t>為減弱</w:t>
            </w:r>
          </w:p>
        </w:tc>
      </w:tr>
      <w:tr w:rsidR="00CC563B" w:rsidRPr="00CC563B" w14:paraId="1C712BEA" w14:textId="77777777" w:rsidTr="00265E5C">
        <w:tc>
          <w:tcPr>
            <w:tcW w:w="4678" w:type="dxa"/>
            <w:gridSpan w:val="2"/>
            <w:shd w:val="clear" w:color="auto" w:fill="auto"/>
          </w:tcPr>
          <w:tbl>
            <w:tblPr>
              <w:tblW w:w="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592"/>
              <w:gridCol w:w="706"/>
              <w:gridCol w:w="426"/>
              <w:gridCol w:w="425"/>
              <w:gridCol w:w="425"/>
              <w:gridCol w:w="425"/>
              <w:gridCol w:w="567"/>
            </w:tblGrid>
            <w:tr w:rsidR="00CC563B" w:rsidRPr="00CC563B" w14:paraId="6CA0BAFE" w14:textId="77777777" w:rsidTr="00265E5C">
              <w:trPr>
                <w:trHeight w:val="115"/>
              </w:trPr>
              <w:tc>
                <w:tcPr>
                  <w:tcW w:w="4566"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293B8D19" w14:textId="77777777" w:rsidR="00CC563B" w:rsidRPr="00CC563B" w:rsidRDefault="00CC563B" w:rsidP="00CC563B">
                  <w:pPr>
                    <w:topLinePunct/>
                    <w:snapToGrid w:val="0"/>
                    <w:spacing w:after="0" w:line="240" w:lineRule="auto"/>
                    <w:jc w:val="center"/>
                    <w:rPr>
                      <w:rFonts w:ascii="華康中黑體" w:eastAsia="華康中黑體" w:hAnsi="華康中黑體" w:cs="華康中黑體"/>
                      <w:bCs/>
                      <w:spacing w:val="0"/>
                      <w:sz w:val="18"/>
                      <w:szCs w:val="18"/>
                    </w:rPr>
                  </w:pPr>
                  <w:r w:rsidRPr="00CC563B">
                    <w:rPr>
                      <w:rFonts w:ascii="華康中黑體" w:eastAsia="華康中黑體" w:hAnsi="華康中黑體" w:cs="華康中黑體" w:hint="eastAsia"/>
                      <w:bCs/>
                      <w:spacing w:val="0"/>
                      <w:sz w:val="18"/>
                      <w:szCs w:val="18"/>
                    </w:rPr>
                    <w:t>業務展望按季統計調查</w:t>
                  </w:r>
                  <w:r w:rsidRPr="00CC563B">
                    <w:rPr>
                      <w:rFonts w:ascii="華康中黑體" w:eastAsia="華康中黑體" w:hAnsi="華康中黑體" w:cs="華康中黑體" w:hint="eastAsia"/>
                      <w:b/>
                      <w:bCs/>
                      <w:spacing w:val="0"/>
                      <w:sz w:val="18"/>
                      <w:szCs w:val="18"/>
                    </w:rPr>
                    <w:t>：</w:t>
                  </w:r>
                  <w:r w:rsidRPr="00CC563B">
                    <w:rPr>
                      <w:rFonts w:ascii="華康中黑體" w:eastAsia="華康中黑體" w:hAnsi="華康中黑體" w:cs="華康中黑體" w:hint="eastAsia"/>
                      <w:bCs/>
                      <w:spacing w:val="0"/>
                      <w:sz w:val="18"/>
                      <w:szCs w:val="18"/>
                    </w:rPr>
                    <w:t>業務狀況預期變動</w:t>
                  </w:r>
                </w:p>
              </w:tc>
            </w:tr>
            <w:tr w:rsidR="00CC563B" w:rsidRPr="00CC563B" w14:paraId="3D9DD73D" w14:textId="77777777" w:rsidTr="00265E5C">
              <w:trPr>
                <w:trHeight w:val="162"/>
              </w:trPr>
              <w:tc>
                <w:tcPr>
                  <w:tcW w:w="1592" w:type="dxa"/>
                  <w:vMerge w:val="restart"/>
                  <w:shd w:val="clear" w:color="auto" w:fill="auto"/>
                  <w:tcMar>
                    <w:top w:w="15" w:type="dxa"/>
                    <w:left w:w="15" w:type="dxa"/>
                    <w:bottom w:w="0" w:type="dxa"/>
                    <w:right w:w="15" w:type="dxa"/>
                  </w:tcMar>
                  <w:hideMark/>
                </w:tcPr>
                <w:p w14:paraId="6D3283F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left"/>
                    <w:textAlignment w:val="auto"/>
                    <w:rPr>
                      <w:spacing w:val="0"/>
                      <w:kern w:val="2"/>
                      <w:sz w:val="18"/>
                      <w:szCs w:val="18"/>
                      <w:lang w:val="en-GB"/>
                    </w:rPr>
                  </w:pPr>
                </w:p>
              </w:tc>
              <w:tc>
                <w:tcPr>
                  <w:tcW w:w="2974" w:type="dxa"/>
                  <w:gridSpan w:val="6"/>
                  <w:shd w:val="clear" w:color="auto" w:fill="auto"/>
                  <w:tcMar>
                    <w:top w:w="15" w:type="dxa"/>
                    <w:left w:w="15" w:type="dxa"/>
                    <w:bottom w:w="0" w:type="dxa"/>
                    <w:right w:w="15" w:type="dxa"/>
                  </w:tcMar>
                  <w:hideMark/>
                </w:tcPr>
                <w:p w14:paraId="45FE08A1"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Cs/>
                      <w:spacing w:val="0"/>
                      <w:kern w:val="2"/>
                      <w:sz w:val="16"/>
                      <w:szCs w:val="16"/>
                      <w:lang w:val="en-GB"/>
                    </w:rPr>
                  </w:pPr>
                  <w:r w:rsidRPr="00CC563B">
                    <w:rPr>
                      <w:rFonts w:hint="eastAsia"/>
                      <w:bCs/>
                      <w:spacing w:val="0"/>
                      <w:kern w:val="2"/>
                      <w:sz w:val="16"/>
                      <w:szCs w:val="16"/>
                      <w:lang w:val="en-GB"/>
                    </w:rPr>
                    <w:t>淨差額</w:t>
                  </w:r>
                  <w:r w:rsidRPr="00CC563B">
                    <w:rPr>
                      <w:rFonts w:hint="eastAsia"/>
                      <w:bCs/>
                      <w:spacing w:val="0"/>
                      <w:kern w:val="2"/>
                      <w:sz w:val="16"/>
                      <w:szCs w:val="16"/>
                      <w:lang w:val="en-GB"/>
                    </w:rPr>
                    <w:t>* (</w:t>
                  </w:r>
                  <w:r w:rsidRPr="00CC563B">
                    <w:rPr>
                      <w:rFonts w:hint="eastAsia"/>
                      <w:bCs/>
                      <w:spacing w:val="0"/>
                      <w:kern w:val="2"/>
                      <w:sz w:val="16"/>
                      <w:szCs w:val="16"/>
                      <w:lang w:val="en-GB"/>
                    </w:rPr>
                    <w:t>百分點</w:t>
                  </w:r>
                  <w:r w:rsidRPr="00CC563B">
                    <w:rPr>
                      <w:rFonts w:hint="eastAsia"/>
                      <w:bCs/>
                      <w:spacing w:val="0"/>
                      <w:kern w:val="2"/>
                      <w:sz w:val="16"/>
                      <w:szCs w:val="16"/>
                      <w:lang w:val="en-GB"/>
                    </w:rPr>
                    <w:t>)</w:t>
                  </w:r>
                </w:p>
              </w:tc>
            </w:tr>
            <w:tr w:rsidR="00CC563B" w:rsidRPr="00CC563B" w14:paraId="16FBE883" w14:textId="77777777" w:rsidTr="00265E5C">
              <w:trPr>
                <w:trHeight w:val="180"/>
              </w:trPr>
              <w:tc>
                <w:tcPr>
                  <w:tcW w:w="1592" w:type="dxa"/>
                  <w:vMerge/>
                  <w:shd w:val="clear" w:color="auto" w:fill="auto"/>
                  <w:tcMar>
                    <w:top w:w="15" w:type="dxa"/>
                    <w:left w:w="15" w:type="dxa"/>
                    <w:bottom w:w="0" w:type="dxa"/>
                    <w:right w:w="15" w:type="dxa"/>
                  </w:tcMar>
                </w:tcPr>
                <w:p w14:paraId="6B57155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left"/>
                    <w:textAlignment w:val="auto"/>
                    <w:rPr>
                      <w:spacing w:val="0"/>
                      <w:kern w:val="2"/>
                      <w:sz w:val="18"/>
                      <w:szCs w:val="18"/>
                      <w:lang w:val="en-GB"/>
                    </w:rPr>
                  </w:pPr>
                </w:p>
              </w:tc>
              <w:tc>
                <w:tcPr>
                  <w:tcW w:w="706" w:type="dxa"/>
                  <w:shd w:val="clear" w:color="auto" w:fill="auto"/>
                  <w:tcMar>
                    <w:top w:w="15" w:type="dxa"/>
                    <w:left w:w="15" w:type="dxa"/>
                    <w:bottom w:w="0" w:type="dxa"/>
                    <w:right w:w="15" w:type="dxa"/>
                  </w:tcMar>
                  <w:vAlign w:val="center"/>
                </w:tcPr>
                <w:p w14:paraId="06DA0D03"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二零</w:t>
                  </w:r>
                  <w:r w:rsidRPr="00BE566E">
                    <w:rPr>
                      <w:rFonts w:hint="eastAsia"/>
                      <w:spacing w:val="0"/>
                      <w:kern w:val="2"/>
                      <w:sz w:val="11"/>
                      <w:szCs w:val="11"/>
                      <w:lang w:val="en-GB" w:eastAsia="zh-HK"/>
                    </w:rPr>
                    <w:t>二四</w:t>
                  </w:r>
                  <w:r w:rsidRPr="00BE566E">
                    <w:rPr>
                      <w:rFonts w:hint="eastAsia"/>
                      <w:spacing w:val="0"/>
                      <w:kern w:val="2"/>
                      <w:sz w:val="11"/>
                      <w:szCs w:val="11"/>
                      <w:lang w:val="en-GB"/>
                    </w:rPr>
                    <w:t>年</w:t>
                  </w:r>
                </w:p>
              </w:tc>
              <w:tc>
                <w:tcPr>
                  <w:tcW w:w="1701" w:type="dxa"/>
                  <w:gridSpan w:val="4"/>
                  <w:shd w:val="clear" w:color="auto" w:fill="auto"/>
                  <w:vAlign w:val="center"/>
                </w:tcPr>
                <w:p w14:paraId="7631E94E"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二零</w:t>
                  </w:r>
                  <w:r w:rsidRPr="00BE566E">
                    <w:rPr>
                      <w:rFonts w:hint="eastAsia"/>
                      <w:spacing w:val="0"/>
                      <w:kern w:val="2"/>
                      <w:sz w:val="11"/>
                      <w:szCs w:val="11"/>
                      <w:lang w:val="en-GB" w:eastAsia="zh-HK"/>
                    </w:rPr>
                    <w:t>二五</w:t>
                  </w:r>
                  <w:r w:rsidRPr="00BE566E">
                    <w:rPr>
                      <w:rFonts w:hint="eastAsia"/>
                      <w:spacing w:val="0"/>
                      <w:kern w:val="2"/>
                      <w:sz w:val="11"/>
                      <w:szCs w:val="11"/>
                      <w:lang w:val="en-GB"/>
                    </w:rPr>
                    <w:t>年</w:t>
                  </w:r>
                </w:p>
              </w:tc>
              <w:tc>
                <w:tcPr>
                  <w:tcW w:w="567" w:type="dxa"/>
                  <w:vAlign w:val="center"/>
                </w:tcPr>
                <w:p w14:paraId="73D03E88"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二零二六年</w:t>
                  </w:r>
                </w:p>
              </w:tc>
            </w:tr>
            <w:tr w:rsidR="00CC563B" w:rsidRPr="00CC563B" w14:paraId="34CFE9EC" w14:textId="77777777" w:rsidTr="00265E5C">
              <w:trPr>
                <w:trHeight w:val="261"/>
              </w:trPr>
              <w:tc>
                <w:tcPr>
                  <w:tcW w:w="1592" w:type="dxa"/>
                  <w:vMerge/>
                  <w:shd w:val="clear" w:color="auto" w:fill="auto"/>
                  <w:tcMar>
                    <w:top w:w="15" w:type="dxa"/>
                    <w:left w:w="15" w:type="dxa"/>
                    <w:bottom w:w="0" w:type="dxa"/>
                    <w:right w:w="15" w:type="dxa"/>
                  </w:tcMar>
                  <w:hideMark/>
                </w:tcPr>
                <w:p w14:paraId="59139BD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left"/>
                    <w:textAlignment w:val="auto"/>
                    <w:rPr>
                      <w:spacing w:val="0"/>
                      <w:kern w:val="2"/>
                      <w:sz w:val="18"/>
                      <w:szCs w:val="18"/>
                      <w:lang w:val="en-GB"/>
                    </w:rPr>
                  </w:pPr>
                </w:p>
              </w:tc>
              <w:tc>
                <w:tcPr>
                  <w:tcW w:w="706" w:type="dxa"/>
                  <w:shd w:val="clear" w:color="auto" w:fill="auto"/>
                  <w:tcMar>
                    <w:top w:w="15" w:type="dxa"/>
                    <w:left w:w="15" w:type="dxa"/>
                    <w:bottom w:w="0" w:type="dxa"/>
                    <w:right w:w="15" w:type="dxa"/>
                  </w:tcMar>
                  <w:vAlign w:val="center"/>
                </w:tcPr>
                <w:p w14:paraId="604F68EA"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第四季</w:t>
                  </w:r>
                </w:p>
              </w:tc>
              <w:tc>
                <w:tcPr>
                  <w:tcW w:w="426" w:type="dxa"/>
                  <w:shd w:val="clear" w:color="auto" w:fill="auto"/>
                  <w:tcMar>
                    <w:top w:w="15" w:type="dxa"/>
                    <w:left w:w="15" w:type="dxa"/>
                    <w:bottom w:w="0" w:type="dxa"/>
                    <w:right w:w="15" w:type="dxa"/>
                  </w:tcMar>
                  <w:vAlign w:val="center"/>
                </w:tcPr>
                <w:p w14:paraId="6178CDF8"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第一季</w:t>
                  </w:r>
                </w:p>
              </w:tc>
              <w:tc>
                <w:tcPr>
                  <w:tcW w:w="425" w:type="dxa"/>
                  <w:shd w:val="clear" w:color="auto" w:fill="auto"/>
                  <w:tcMar>
                    <w:top w:w="15" w:type="dxa"/>
                    <w:left w:w="15" w:type="dxa"/>
                    <w:bottom w:w="0" w:type="dxa"/>
                    <w:right w:w="15" w:type="dxa"/>
                  </w:tcMar>
                  <w:vAlign w:val="center"/>
                </w:tcPr>
                <w:p w14:paraId="728291AF"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第二季</w:t>
                  </w:r>
                </w:p>
              </w:tc>
              <w:tc>
                <w:tcPr>
                  <w:tcW w:w="425" w:type="dxa"/>
                  <w:vAlign w:val="center"/>
                </w:tcPr>
                <w:p w14:paraId="161BEAAD"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第三季</w:t>
                  </w:r>
                </w:p>
              </w:tc>
              <w:tc>
                <w:tcPr>
                  <w:tcW w:w="425" w:type="dxa"/>
                  <w:vAlign w:val="center"/>
                </w:tcPr>
                <w:p w14:paraId="4806AB51"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第四季</w:t>
                  </w:r>
                </w:p>
              </w:tc>
              <w:tc>
                <w:tcPr>
                  <w:tcW w:w="567" w:type="dxa"/>
                  <w:vAlign w:val="center"/>
                </w:tcPr>
                <w:p w14:paraId="42E70C4E"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第一季</w:t>
                  </w:r>
                </w:p>
              </w:tc>
            </w:tr>
            <w:tr w:rsidR="00CC563B" w:rsidRPr="00CC563B" w14:paraId="570EEF39" w14:textId="77777777" w:rsidTr="00265E5C">
              <w:trPr>
                <w:trHeight w:val="252"/>
              </w:trPr>
              <w:tc>
                <w:tcPr>
                  <w:tcW w:w="1592" w:type="dxa"/>
                  <w:shd w:val="clear" w:color="auto" w:fill="auto"/>
                  <w:tcMar>
                    <w:top w:w="15" w:type="dxa"/>
                    <w:left w:w="15" w:type="dxa"/>
                    <w:bottom w:w="0" w:type="dxa"/>
                    <w:right w:w="15" w:type="dxa"/>
                  </w:tcMar>
                  <w:vAlign w:val="center"/>
                </w:tcPr>
                <w:p w14:paraId="274DD78E"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製造業</w:t>
                  </w:r>
                </w:p>
              </w:tc>
              <w:tc>
                <w:tcPr>
                  <w:tcW w:w="706" w:type="dxa"/>
                  <w:shd w:val="clear" w:color="auto" w:fill="auto"/>
                  <w:tcMar>
                    <w:top w:w="15" w:type="dxa"/>
                    <w:left w:w="15" w:type="dxa"/>
                    <w:bottom w:w="0" w:type="dxa"/>
                    <w:right w:w="15" w:type="dxa"/>
                  </w:tcMar>
                  <w:vAlign w:val="center"/>
                </w:tcPr>
                <w:p w14:paraId="70532DBD"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-19</w:t>
                  </w:r>
                </w:p>
              </w:tc>
              <w:tc>
                <w:tcPr>
                  <w:tcW w:w="426" w:type="dxa"/>
                  <w:shd w:val="clear" w:color="auto" w:fill="auto"/>
                  <w:tcMar>
                    <w:top w:w="15" w:type="dxa"/>
                    <w:left w:w="15" w:type="dxa"/>
                    <w:bottom w:w="0" w:type="dxa"/>
                    <w:right w:w="15" w:type="dxa"/>
                  </w:tcMar>
                  <w:vAlign w:val="center"/>
                </w:tcPr>
                <w:p w14:paraId="420E8C9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-22</w:t>
                  </w:r>
                </w:p>
              </w:tc>
              <w:tc>
                <w:tcPr>
                  <w:tcW w:w="425" w:type="dxa"/>
                  <w:shd w:val="clear" w:color="auto" w:fill="auto"/>
                  <w:tcMar>
                    <w:top w:w="15" w:type="dxa"/>
                    <w:left w:w="15" w:type="dxa"/>
                    <w:bottom w:w="0" w:type="dxa"/>
                    <w:right w:w="15" w:type="dxa"/>
                  </w:tcMar>
                  <w:vAlign w:val="center"/>
                </w:tcPr>
                <w:p w14:paraId="4335650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-20</w:t>
                  </w:r>
                </w:p>
              </w:tc>
              <w:tc>
                <w:tcPr>
                  <w:tcW w:w="425" w:type="dxa"/>
                  <w:vAlign w:val="center"/>
                </w:tcPr>
                <w:p w14:paraId="7271E9B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w:t>
                  </w:r>
                </w:p>
              </w:tc>
              <w:tc>
                <w:tcPr>
                  <w:tcW w:w="425" w:type="dxa"/>
                  <w:vAlign w:val="center"/>
                </w:tcPr>
                <w:p w14:paraId="17206E2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-15</w:t>
                  </w:r>
                </w:p>
              </w:tc>
              <w:tc>
                <w:tcPr>
                  <w:tcW w:w="567" w:type="dxa"/>
                  <w:vAlign w:val="center"/>
                </w:tcPr>
                <w:p w14:paraId="522E58B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-15</w:t>
                  </w:r>
                </w:p>
              </w:tc>
            </w:tr>
            <w:tr w:rsidR="00CC563B" w:rsidRPr="00CC563B" w14:paraId="0CA7047C" w14:textId="77777777" w:rsidTr="00265E5C">
              <w:trPr>
                <w:trHeight w:val="252"/>
              </w:trPr>
              <w:tc>
                <w:tcPr>
                  <w:tcW w:w="1592" w:type="dxa"/>
                  <w:shd w:val="clear" w:color="auto" w:fill="auto"/>
                  <w:tcMar>
                    <w:top w:w="15" w:type="dxa"/>
                    <w:left w:w="15" w:type="dxa"/>
                    <w:bottom w:w="0" w:type="dxa"/>
                    <w:right w:w="15" w:type="dxa"/>
                  </w:tcMar>
                  <w:vAlign w:val="center"/>
                </w:tcPr>
                <w:p w14:paraId="72FC501F"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建造業</w:t>
                  </w:r>
                </w:p>
              </w:tc>
              <w:tc>
                <w:tcPr>
                  <w:tcW w:w="706" w:type="dxa"/>
                  <w:shd w:val="clear" w:color="auto" w:fill="auto"/>
                  <w:tcMar>
                    <w:top w:w="15" w:type="dxa"/>
                    <w:left w:w="15" w:type="dxa"/>
                    <w:bottom w:w="0" w:type="dxa"/>
                    <w:right w:w="15" w:type="dxa"/>
                  </w:tcMar>
                  <w:vAlign w:val="center"/>
                </w:tcPr>
                <w:p w14:paraId="549A9D1D"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-12</w:t>
                  </w:r>
                </w:p>
              </w:tc>
              <w:tc>
                <w:tcPr>
                  <w:tcW w:w="426" w:type="dxa"/>
                  <w:shd w:val="clear" w:color="auto" w:fill="auto"/>
                  <w:tcMar>
                    <w:top w:w="15" w:type="dxa"/>
                    <w:left w:w="15" w:type="dxa"/>
                    <w:bottom w:w="0" w:type="dxa"/>
                    <w:right w:w="15" w:type="dxa"/>
                  </w:tcMar>
                  <w:vAlign w:val="center"/>
                </w:tcPr>
                <w:p w14:paraId="4A8A321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-14</w:t>
                  </w:r>
                </w:p>
              </w:tc>
              <w:tc>
                <w:tcPr>
                  <w:tcW w:w="425" w:type="dxa"/>
                  <w:shd w:val="clear" w:color="auto" w:fill="auto"/>
                  <w:tcMar>
                    <w:top w:w="15" w:type="dxa"/>
                    <w:left w:w="15" w:type="dxa"/>
                    <w:bottom w:w="0" w:type="dxa"/>
                    <w:right w:w="15" w:type="dxa"/>
                  </w:tcMar>
                  <w:vAlign w:val="center"/>
                </w:tcPr>
                <w:p w14:paraId="32B0339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-16</w:t>
                  </w:r>
                </w:p>
              </w:tc>
              <w:tc>
                <w:tcPr>
                  <w:tcW w:w="425" w:type="dxa"/>
                  <w:vAlign w:val="center"/>
                </w:tcPr>
                <w:p w14:paraId="2CB7C0C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-22</w:t>
                  </w:r>
                </w:p>
              </w:tc>
              <w:tc>
                <w:tcPr>
                  <w:tcW w:w="425" w:type="dxa"/>
                  <w:vAlign w:val="center"/>
                </w:tcPr>
                <w:p w14:paraId="206C8B5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-24</w:t>
                  </w:r>
                </w:p>
              </w:tc>
              <w:tc>
                <w:tcPr>
                  <w:tcW w:w="567" w:type="dxa"/>
                  <w:vAlign w:val="center"/>
                </w:tcPr>
                <w:p w14:paraId="7F2A1650"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-23</w:t>
                  </w:r>
                </w:p>
              </w:tc>
            </w:tr>
            <w:tr w:rsidR="00CC563B" w:rsidRPr="00CC563B" w14:paraId="394272FC" w14:textId="77777777" w:rsidTr="00265E5C">
              <w:trPr>
                <w:trHeight w:val="252"/>
              </w:trPr>
              <w:tc>
                <w:tcPr>
                  <w:tcW w:w="1592" w:type="dxa"/>
                  <w:shd w:val="clear" w:color="auto" w:fill="auto"/>
                  <w:tcMar>
                    <w:top w:w="15" w:type="dxa"/>
                    <w:left w:w="15" w:type="dxa"/>
                    <w:bottom w:w="0" w:type="dxa"/>
                    <w:right w:w="15" w:type="dxa"/>
                  </w:tcMar>
                  <w:vAlign w:val="center"/>
                  <w:hideMark/>
                </w:tcPr>
                <w:p w14:paraId="7E63C19D"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進出口貿易及批發業</w:t>
                  </w:r>
                </w:p>
              </w:tc>
              <w:tc>
                <w:tcPr>
                  <w:tcW w:w="706" w:type="dxa"/>
                  <w:shd w:val="clear" w:color="auto" w:fill="auto"/>
                  <w:tcMar>
                    <w:top w:w="15" w:type="dxa"/>
                    <w:left w:w="15" w:type="dxa"/>
                    <w:bottom w:w="0" w:type="dxa"/>
                    <w:right w:w="15" w:type="dxa"/>
                  </w:tcMar>
                  <w:vAlign w:val="center"/>
                </w:tcPr>
                <w:p w14:paraId="5407A98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4500A0CD"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-15</w:t>
                  </w:r>
                </w:p>
              </w:tc>
              <w:tc>
                <w:tcPr>
                  <w:tcW w:w="425" w:type="dxa"/>
                  <w:shd w:val="clear" w:color="auto" w:fill="auto"/>
                  <w:tcMar>
                    <w:top w:w="15" w:type="dxa"/>
                    <w:left w:w="15" w:type="dxa"/>
                    <w:bottom w:w="0" w:type="dxa"/>
                    <w:right w:w="15" w:type="dxa"/>
                  </w:tcMar>
                  <w:vAlign w:val="center"/>
                </w:tcPr>
                <w:p w14:paraId="4425A7B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-19</w:t>
                  </w:r>
                </w:p>
              </w:tc>
              <w:tc>
                <w:tcPr>
                  <w:tcW w:w="425" w:type="dxa"/>
                  <w:vAlign w:val="center"/>
                </w:tcPr>
                <w:p w14:paraId="73A12AF7"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-18</w:t>
                  </w:r>
                </w:p>
              </w:tc>
              <w:tc>
                <w:tcPr>
                  <w:tcW w:w="425" w:type="dxa"/>
                  <w:vAlign w:val="center"/>
                </w:tcPr>
                <w:p w14:paraId="08FA4B1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-11</w:t>
                  </w:r>
                </w:p>
              </w:tc>
              <w:tc>
                <w:tcPr>
                  <w:tcW w:w="567" w:type="dxa"/>
                  <w:vAlign w:val="center"/>
                </w:tcPr>
                <w:p w14:paraId="05200A9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-12</w:t>
                  </w:r>
                </w:p>
              </w:tc>
            </w:tr>
            <w:tr w:rsidR="00CC563B" w:rsidRPr="00CC563B" w14:paraId="0B6AD44B" w14:textId="77777777" w:rsidTr="00265E5C">
              <w:trPr>
                <w:trHeight w:val="252"/>
              </w:trPr>
              <w:tc>
                <w:tcPr>
                  <w:tcW w:w="1592" w:type="dxa"/>
                  <w:shd w:val="clear" w:color="auto" w:fill="auto"/>
                  <w:tcMar>
                    <w:top w:w="15" w:type="dxa"/>
                    <w:left w:w="15" w:type="dxa"/>
                    <w:bottom w:w="0" w:type="dxa"/>
                    <w:right w:w="15" w:type="dxa"/>
                  </w:tcMar>
                  <w:vAlign w:val="center"/>
                  <w:hideMark/>
                </w:tcPr>
                <w:p w14:paraId="4541EF42"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零售業</w:t>
                  </w:r>
                </w:p>
              </w:tc>
              <w:tc>
                <w:tcPr>
                  <w:tcW w:w="706" w:type="dxa"/>
                  <w:shd w:val="clear" w:color="auto" w:fill="auto"/>
                  <w:tcMar>
                    <w:top w:w="15" w:type="dxa"/>
                    <w:left w:w="15" w:type="dxa"/>
                    <w:bottom w:w="0" w:type="dxa"/>
                    <w:right w:w="15" w:type="dxa"/>
                  </w:tcMar>
                  <w:vAlign w:val="center"/>
                </w:tcPr>
                <w:p w14:paraId="0D849C4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-19</w:t>
                  </w:r>
                </w:p>
              </w:tc>
              <w:tc>
                <w:tcPr>
                  <w:tcW w:w="426" w:type="dxa"/>
                  <w:shd w:val="clear" w:color="auto" w:fill="auto"/>
                  <w:tcMar>
                    <w:top w:w="15" w:type="dxa"/>
                    <w:left w:w="15" w:type="dxa"/>
                    <w:bottom w:w="0" w:type="dxa"/>
                    <w:right w:w="15" w:type="dxa"/>
                  </w:tcMar>
                  <w:vAlign w:val="center"/>
                </w:tcPr>
                <w:p w14:paraId="336C3FD0"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-31</w:t>
                  </w:r>
                </w:p>
              </w:tc>
              <w:tc>
                <w:tcPr>
                  <w:tcW w:w="425" w:type="dxa"/>
                  <w:shd w:val="clear" w:color="auto" w:fill="auto"/>
                  <w:tcMar>
                    <w:top w:w="15" w:type="dxa"/>
                    <w:left w:w="15" w:type="dxa"/>
                    <w:bottom w:w="0" w:type="dxa"/>
                    <w:right w:w="15" w:type="dxa"/>
                  </w:tcMar>
                  <w:vAlign w:val="center"/>
                </w:tcPr>
                <w:p w14:paraId="5AD8D73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25" w:type="dxa"/>
                  <w:vAlign w:val="center"/>
                </w:tcPr>
                <w:p w14:paraId="4BC646B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-14</w:t>
                  </w:r>
                </w:p>
              </w:tc>
              <w:tc>
                <w:tcPr>
                  <w:tcW w:w="425" w:type="dxa"/>
                  <w:vAlign w:val="center"/>
                </w:tcPr>
                <w:p w14:paraId="109357C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+14</w:t>
                  </w:r>
                </w:p>
              </w:tc>
              <w:tc>
                <w:tcPr>
                  <w:tcW w:w="567" w:type="dxa"/>
                  <w:vAlign w:val="center"/>
                </w:tcPr>
                <w:p w14:paraId="7F9B7F2D"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w:t>
                  </w:r>
                </w:p>
              </w:tc>
            </w:tr>
            <w:tr w:rsidR="00CC563B" w:rsidRPr="00CC563B" w14:paraId="0C1BE51A" w14:textId="77777777" w:rsidTr="00265E5C">
              <w:trPr>
                <w:trHeight w:val="252"/>
              </w:trPr>
              <w:tc>
                <w:tcPr>
                  <w:tcW w:w="1592" w:type="dxa"/>
                  <w:shd w:val="clear" w:color="auto" w:fill="auto"/>
                  <w:tcMar>
                    <w:top w:w="15" w:type="dxa"/>
                    <w:left w:w="15" w:type="dxa"/>
                    <w:bottom w:w="0" w:type="dxa"/>
                    <w:right w:w="15" w:type="dxa"/>
                  </w:tcMar>
                  <w:vAlign w:val="center"/>
                  <w:hideMark/>
                </w:tcPr>
                <w:p w14:paraId="1C5EE6F0"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住宿及膳食服務業</w:t>
                  </w:r>
                </w:p>
              </w:tc>
              <w:tc>
                <w:tcPr>
                  <w:tcW w:w="706" w:type="dxa"/>
                  <w:shd w:val="clear" w:color="auto" w:fill="auto"/>
                  <w:tcMar>
                    <w:top w:w="15" w:type="dxa"/>
                    <w:left w:w="15" w:type="dxa"/>
                    <w:bottom w:w="0" w:type="dxa"/>
                    <w:right w:w="15" w:type="dxa"/>
                  </w:tcMar>
                  <w:vAlign w:val="center"/>
                </w:tcPr>
                <w:p w14:paraId="7FCE46AC"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277A2B3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-36</w:t>
                  </w:r>
                </w:p>
              </w:tc>
              <w:tc>
                <w:tcPr>
                  <w:tcW w:w="425" w:type="dxa"/>
                  <w:shd w:val="clear" w:color="auto" w:fill="auto"/>
                  <w:tcMar>
                    <w:top w:w="15" w:type="dxa"/>
                    <w:left w:w="15" w:type="dxa"/>
                    <w:bottom w:w="0" w:type="dxa"/>
                    <w:right w:w="15" w:type="dxa"/>
                  </w:tcMar>
                  <w:vAlign w:val="center"/>
                </w:tcPr>
                <w:p w14:paraId="14D9E5F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-37</w:t>
                  </w:r>
                </w:p>
              </w:tc>
              <w:tc>
                <w:tcPr>
                  <w:tcW w:w="425" w:type="dxa"/>
                  <w:vAlign w:val="center"/>
                </w:tcPr>
                <w:p w14:paraId="06589CB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-16</w:t>
                  </w:r>
                </w:p>
              </w:tc>
              <w:tc>
                <w:tcPr>
                  <w:tcW w:w="425" w:type="dxa"/>
                  <w:vAlign w:val="center"/>
                </w:tcPr>
                <w:p w14:paraId="1080B36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+10</w:t>
                  </w:r>
                </w:p>
              </w:tc>
              <w:tc>
                <w:tcPr>
                  <w:tcW w:w="567" w:type="dxa"/>
                  <w:vAlign w:val="center"/>
                </w:tcPr>
                <w:p w14:paraId="346E721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-22</w:t>
                  </w:r>
                </w:p>
              </w:tc>
            </w:tr>
            <w:tr w:rsidR="00CC563B" w:rsidRPr="00CC563B" w14:paraId="65C1572E" w14:textId="77777777" w:rsidTr="00265E5C">
              <w:trPr>
                <w:trHeight w:val="252"/>
              </w:trPr>
              <w:tc>
                <w:tcPr>
                  <w:tcW w:w="1592" w:type="dxa"/>
                  <w:shd w:val="clear" w:color="auto" w:fill="auto"/>
                  <w:tcMar>
                    <w:top w:w="15" w:type="dxa"/>
                    <w:left w:w="15" w:type="dxa"/>
                    <w:bottom w:w="0" w:type="dxa"/>
                    <w:right w:w="15" w:type="dxa"/>
                  </w:tcMar>
                  <w:vAlign w:val="center"/>
                  <w:hideMark/>
                </w:tcPr>
                <w:p w14:paraId="2530DCE1"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運輸、倉庫及速遞服務業</w:t>
                  </w:r>
                </w:p>
              </w:tc>
              <w:tc>
                <w:tcPr>
                  <w:tcW w:w="706" w:type="dxa"/>
                  <w:shd w:val="clear" w:color="auto" w:fill="auto"/>
                  <w:tcMar>
                    <w:top w:w="15" w:type="dxa"/>
                    <w:left w:w="15" w:type="dxa"/>
                    <w:bottom w:w="0" w:type="dxa"/>
                    <w:right w:w="15" w:type="dxa"/>
                  </w:tcMar>
                  <w:vAlign w:val="center"/>
                </w:tcPr>
                <w:p w14:paraId="5E9673A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4CE0F98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-27</w:t>
                  </w:r>
                </w:p>
              </w:tc>
              <w:tc>
                <w:tcPr>
                  <w:tcW w:w="425" w:type="dxa"/>
                  <w:shd w:val="clear" w:color="auto" w:fill="auto"/>
                  <w:tcMar>
                    <w:top w:w="15" w:type="dxa"/>
                    <w:left w:w="15" w:type="dxa"/>
                    <w:bottom w:w="0" w:type="dxa"/>
                    <w:right w:w="15" w:type="dxa"/>
                  </w:tcMar>
                  <w:vAlign w:val="center"/>
                </w:tcPr>
                <w:p w14:paraId="6DD0D08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-25</w:t>
                  </w:r>
                </w:p>
              </w:tc>
              <w:tc>
                <w:tcPr>
                  <w:tcW w:w="425" w:type="dxa"/>
                  <w:vAlign w:val="center"/>
                </w:tcPr>
                <w:p w14:paraId="7EDBF4B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-31</w:t>
                  </w:r>
                </w:p>
              </w:tc>
              <w:tc>
                <w:tcPr>
                  <w:tcW w:w="425" w:type="dxa"/>
                  <w:vAlign w:val="center"/>
                </w:tcPr>
                <w:p w14:paraId="574853D1"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-11</w:t>
                  </w:r>
                </w:p>
              </w:tc>
              <w:tc>
                <w:tcPr>
                  <w:tcW w:w="567" w:type="dxa"/>
                  <w:vAlign w:val="center"/>
                </w:tcPr>
                <w:p w14:paraId="0CC4677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-13</w:t>
                  </w:r>
                </w:p>
              </w:tc>
            </w:tr>
            <w:tr w:rsidR="00CC563B" w:rsidRPr="00CC563B" w14:paraId="4CB13CBE" w14:textId="77777777" w:rsidTr="00265E5C">
              <w:trPr>
                <w:trHeight w:val="252"/>
              </w:trPr>
              <w:tc>
                <w:tcPr>
                  <w:tcW w:w="1592" w:type="dxa"/>
                  <w:shd w:val="clear" w:color="auto" w:fill="auto"/>
                  <w:tcMar>
                    <w:top w:w="15" w:type="dxa"/>
                    <w:left w:w="15" w:type="dxa"/>
                    <w:bottom w:w="0" w:type="dxa"/>
                    <w:right w:w="15" w:type="dxa"/>
                  </w:tcMar>
                  <w:vAlign w:val="center"/>
                  <w:hideMark/>
                </w:tcPr>
                <w:p w14:paraId="453A6696"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資訊及通訊業</w:t>
                  </w:r>
                </w:p>
              </w:tc>
              <w:tc>
                <w:tcPr>
                  <w:tcW w:w="706" w:type="dxa"/>
                  <w:shd w:val="clear" w:color="auto" w:fill="auto"/>
                  <w:tcMar>
                    <w:top w:w="15" w:type="dxa"/>
                    <w:left w:w="15" w:type="dxa"/>
                    <w:bottom w:w="0" w:type="dxa"/>
                    <w:right w:w="15" w:type="dxa"/>
                  </w:tcMar>
                  <w:vAlign w:val="center"/>
                </w:tcPr>
                <w:p w14:paraId="6C7E716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-5</w:t>
                  </w:r>
                </w:p>
              </w:tc>
              <w:tc>
                <w:tcPr>
                  <w:tcW w:w="426" w:type="dxa"/>
                  <w:shd w:val="clear" w:color="auto" w:fill="auto"/>
                  <w:tcMar>
                    <w:top w:w="15" w:type="dxa"/>
                    <w:left w:w="15" w:type="dxa"/>
                    <w:bottom w:w="0" w:type="dxa"/>
                    <w:right w:w="15" w:type="dxa"/>
                  </w:tcMar>
                  <w:vAlign w:val="center"/>
                </w:tcPr>
                <w:p w14:paraId="49D0EE8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-11</w:t>
                  </w:r>
                </w:p>
              </w:tc>
              <w:tc>
                <w:tcPr>
                  <w:tcW w:w="425" w:type="dxa"/>
                  <w:shd w:val="clear" w:color="auto" w:fill="auto"/>
                  <w:tcMar>
                    <w:top w:w="15" w:type="dxa"/>
                    <w:left w:w="15" w:type="dxa"/>
                    <w:bottom w:w="0" w:type="dxa"/>
                    <w:right w:w="15" w:type="dxa"/>
                  </w:tcMar>
                  <w:vAlign w:val="center"/>
                </w:tcPr>
                <w:p w14:paraId="6F5CA6B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-17</w:t>
                  </w:r>
                </w:p>
              </w:tc>
              <w:tc>
                <w:tcPr>
                  <w:tcW w:w="425" w:type="dxa"/>
                  <w:vAlign w:val="center"/>
                </w:tcPr>
                <w:p w14:paraId="507467E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-9</w:t>
                  </w:r>
                </w:p>
              </w:tc>
              <w:tc>
                <w:tcPr>
                  <w:tcW w:w="425" w:type="dxa"/>
                  <w:vAlign w:val="center"/>
                </w:tcPr>
                <w:p w14:paraId="1CC24C4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-16</w:t>
                  </w:r>
                </w:p>
              </w:tc>
              <w:tc>
                <w:tcPr>
                  <w:tcW w:w="567" w:type="dxa"/>
                  <w:vAlign w:val="center"/>
                </w:tcPr>
                <w:p w14:paraId="64F601D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-8</w:t>
                  </w:r>
                </w:p>
              </w:tc>
            </w:tr>
            <w:tr w:rsidR="00CC563B" w:rsidRPr="00CC563B" w14:paraId="097FFCD1" w14:textId="77777777" w:rsidTr="00265E5C">
              <w:trPr>
                <w:trHeight w:val="252"/>
              </w:trPr>
              <w:tc>
                <w:tcPr>
                  <w:tcW w:w="1592" w:type="dxa"/>
                  <w:shd w:val="clear" w:color="auto" w:fill="auto"/>
                  <w:tcMar>
                    <w:top w:w="15" w:type="dxa"/>
                    <w:left w:w="15" w:type="dxa"/>
                    <w:bottom w:w="0" w:type="dxa"/>
                    <w:right w:w="15" w:type="dxa"/>
                  </w:tcMar>
                  <w:vAlign w:val="center"/>
                </w:tcPr>
                <w:p w14:paraId="4674223C"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金融及保險業</w:t>
                  </w:r>
                </w:p>
              </w:tc>
              <w:tc>
                <w:tcPr>
                  <w:tcW w:w="706" w:type="dxa"/>
                  <w:shd w:val="clear" w:color="auto" w:fill="auto"/>
                  <w:tcMar>
                    <w:top w:w="15" w:type="dxa"/>
                    <w:left w:w="15" w:type="dxa"/>
                    <w:bottom w:w="0" w:type="dxa"/>
                    <w:right w:w="15" w:type="dxa"/>
                  </w:tcMar>
                  <w:vAlign w:val="center"/>
                </w:tcPr>
                <w:p w14:paraId="7052302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w:t>
                  </w:r>
                </w:p>
              </w:tc>
              <w:tc>
                <w:tcPr>
                  <w:tcW w:w="426" w:type="dxa"/>
                  <w:shd w:val="clear" w:color="auto" w:fill="auto"/>
                  <w:tcMar>
                    <w:top w:w="15" w:type="dxa"/>
                    <w:left w:w="15" w:type="dxa"/>
                    <w:bottom w:w="0" w:type="dxa"/>
                    <w:right w:w="15" w:type="dxa"/>
                  </w:tcMar>
                  <w:vAlign w:val="center"/>
                </w:tcPr>
                <w:p w14:paraId="1C0D8E7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+10</w:t>
                  </w:r>
                </w:p>
              </w:tc>
              <w:tc>
                <w:tcPr>
                  <w:tcW w:w="425" w:type="dxa"/>
                  <w:shd w:val="clear" w:color="auto" w:fill="auto"/>
                  <w:tcMar>
                    <w:top w:w="15" w:type="dxa"/>
                    <w:left w:w="15" w:type="dxa"/>
                    <w:bottom w:w="0" w:type="dxa"/>
                    <w:right w:w="15" w:type="dxa"/>
                  </w:tcMar>
                  <w:vAlign w:val="center"/>
                </w:tcPr>
                <w:p w14:paraId="4F1F9731"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+8</w:t>
                  </w:r>
                </w:p>
              </w:tc>
              <w:tc>
                <w:tcPr>
                  <w:tcW w:w="425" w:type="dxa"/>
                  <w:vAlign w:val="center"/>
                </w:tcPr>
                <w:p w14:paraId="09F8077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+11</w:t>
                  </w:r>
                </w:p>
              </w:tc>
              <w:tc>
                <w:tcPr>
                  <w:tcW w:w="425" w:type="dxa"/>
                  <w:vAlign w:val="center"/>
                </w:tcPr>
                <w:p w14:paraId="0B436A2D"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+13</w:t>
                  </w:r>
                </w:p>
              </w:tc>
              <w:tc>
                <w:tcPr>
                  <w:tcW w:w="567" w:type="dxa"/>
                  <w:vAlign w:val="center"/>
                </w:tcPr>
                <w:p w14:paraId="344D032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+21</w:t>
                  </w:r>
                </w:p>
              </w:tc>
            </w:tr>
            <w:tr w:rsidR="00CC563B" w:rsidRPr="00CC563B" w14:paraId="72CA6829" w14:textId="77777777" w:rsidTr="00265E5C">
              <w:trPr>
                <w:trHeight w:val="252"/>
              </w:trPr>
              <w:tc>
                <w:tcPr>
                  <w:tcW w:w="1592" w:type="dxa"/>
                  <w:shd w:val="clear" w:color="auto" w:fill="auto"/>
                  <w:tcMar>
                    <w:top w:w="15" w:type="dxa"/>
                    <w:left w:w="15" w:type="dxa"/>
                    <w:bottom w:w="0" w:type="dxa"/>
                    <w:right w:w="15" w:type="dxa"/>
                  </w:tcMar>
                  <w:vAlign w:val="center"/>
                  <w:hideMark/>
                </w:tcPr>
                <w:p w14:paraId="0E129022"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地產業</w:t>
                  </w:r>
                </w:p>
              </w:tc>
              <w:tc>
                <w:tcPr>
                  <w:tcW w:w="706" w:type="dxa"/>
                  <w:shd w:val="clear" w:color="auto" w:fill="auto"/>
                  <w:tcMar>
                    <w:top w:w="15" w:type="dxa"/>
                    <w:left w:w="15" w:type="dxa"/>
                    <w:bottom w:w="0" w:type="dxa"/>
                    <w:right w:w="15" w:type="dxa"/>
                  </w:tcMar>
                  <w:vAlign w:val="center"/>
                </w:tcPr>
                <w:p w14:paraId="7930104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43EDB99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-15</w:t>
                  </w:r>
                </w:p>
              </w:tc>
              <w:tc>
                <w:tcPr>
                  <w:tcW w:w="425" w:type="dxa"/>
                  <w:shd w:val="clear" w:color="auto" w:fill="auto"/>
                  <w:tcMar>
                    <w:top w:w="15" w:type="dxa"/>
                    <w:left w:w="15" w:type="dxa"/>
                    <w:bottom w:w="0" w:type="dxa"/>
                    <w:right w:w="15" w:type="dxa"/>
                  </w:tcMar>
                  <w:vAlign w:val="center"/>
                </w:tcPr>
                <w:p w14:paraId="11F6372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-11</w:t>
                  </w:r>
                </w:p>
              </w:tc>
              <w:tc>
                <w:tcPr>
                  <w:tcW w:w="425" w:type="dxa"/>
                  <w:vAlign w:val="center"/>
                </w:tcPr>
                <w:p w14:paraId="2DAF278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25" w:type="dxa"/>
                  <w:vAlign w:val="center"/>
                </w:tcPr>
                <w:p w14:paraId="338BC3F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+7</w:t>
                  </w:r>
                </w:p>
              </w:tc>
              <w:tc>
                <w:tcPr>
                  <w:tcW w:w="567" w:type="dxa"/>
                  <w:vAlign w:val="center"/>
                </w:tcPr>
                <w:p w14:paraId="13E928A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-4</w:t>
                  </w:r>
                </w:p>
              </w:tc>
            </w:tr>
            <w:tr w:rsidR="00CC563B" w:rsidRPr="00CC563B" w14:paraId="5BA7236B" w14:textId="77777777" w:rsidTr="00265E5C">
              <w:trPr>
                <w:trHeight w:val="252"/>
              </w:trPr>
              <w:tc>
                <w:tcPr>
                  <w:tcW w:w="1592" w:type="dxa"/>
                  <w:shd w:val="clear" w:color="auto" w:fill="auto"/>
                  <w:tcMar>
                    <w:top w:w="15" w:type="dxa"/>
                    <w:left w:w="15" w:type="dxa"/>
                    <w:bottom w:w="0" w:type="dxa"/>
                    <w:right w:w="15" w:type="dxa"/>
                  </w:tcMar>
                  <w:vAlign w:val="center"/>
                  <w:hideMark/>
                </w:tcPr>
                <w:p w14:paraId="5A0ADBA3"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專業及商用服務業</w:t>
                  </w:r>
                </w:p>
              </w:tc>
              <w:tc>
                <w:tcPr>
                  <w:tcW w:w="706" w:type="dxa"/>
                  <w:shd w:val="clear" w:color="auto" w:fill="auto"/>
                  <w:tcMar>
                    <w:top w:w="15" w:type="dxa"/>
                    <w:left w:w="15" w:type="dxa"/>
                    <w:bottom w:w="0" w:type="dxa"/>
                    <w:right w:w="15" w:type="dxa"/>
                  </w:tcMar>
                  <w:vAlign w:val="center"/>
                </w:tcPr>
                <w:p w14:paraId="6D98E80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1E0A89B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-8</w:t>
                  </w:r>
                </w:p>
              </w:tc>
              <w:tc>
                <w:tcPr>
                  <w:tcW w:w="425" w:type="dxa"/>
                  <w:shd w:val="clear" w:color="auto" w:fill="auto"/>
                  <w:tcMar>
                    <w:top w:w="15" w:type="dxa"/>
                    <w:left w:w="15" w:type="dxa"/>
                    <w:bottom w:w="0" w:type="dxa"/>
                    <w:right w:w="15" w:type="dxa"/>
                  </w:tcMar>
                  <w:vAlign w:val="center"/>
                </w:tcPr>
                <w:p w14:paraId="155239C7"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25" w:type="dxa"/>
                  <w:vAlign w:val="center"/>
                </w:tcPr>
                <w:p w14:paraId="0E7F4A4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-14</w:t>
                  </w:r>
                </w:p>
              </w:tc>
              <w:tc>
                <w:tcPr>
                  <w:tcW w:w="425" w:type="dxa"/>
                  <w:vAlign w:val="center"/>
                </w:tcPr>
                <w:p w14:paraId="44516E7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-9</w:t>
                  </w:r>
                </w:p>
              </w:tc>
              <w:tc>
                <w:tcPr>
                  <w:tcW w:w="567" w:type="dxa"/>
                  <w:vAlign w:val="center"/>
                </w:tcPr>
                <w:p w14:paraId="0307C1EC"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-12</w:t>
                  </w:r>
                </w:p>
              </w:tc>
            </w:tr>
            <w:tr w:rsidR="00CC563B" w:rsidRPr="00CC563B" w14:paraId="219390EB" w14:textId="77777777" w:rsidTr="00265E5C">
              <w:trPr>
                <w:trHeight w:val="252"/>
              </w:trPr>
              <w:tc>
                <w:tcPr>
                  <w:tcW w:w="1592" w:type="dxa"/>
                  <w:shd w:val="clear" w:color="auto" w:fill="auto"/>
                  <w:tcMar>
                    <w:top w:w="15" w:type="dxa"/>
                    <w:left w:w="15" w:type="dxa"/>
                    <w:bottom w:w="0" w:type="dxa"/>
                    <w:right w:w="15" w:type="dxa"/>
                  </w:tcMar>
                  <w:vAlign w:val="center"/>
                </w:tcPr>
                <w:p w14:paraId="3606B1EA" w14:textId="77777777" w:rsidR="00CC563B" w:rsidRPr="009E5A7C"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rFonts w:ascii="華康中黑體" w:eastAsia="華康中黑體" w:hAnsi="華康中黑體" w:cs="華康中黑體"/>
                      <w:bCs/>
                      <w:spacing w:val="0"/>
                      <w:kern w:val="2"/>
                      <w:sz w:val="16"/>
                      <w:szCs w:val="16"/>
                      <w:lang w:val="en-GB"/>
                    </w:rPr>
                  </w:pPr>
                  <w:r w:rsidRPr="009E5A7C">
                    <w:rPr>
                      <w:rFonts w:ascii="華康中黑體" w:eastAsia="華康中黑體" w:hAnsi="華康中黑體" w:cs="華康中黑體" w:hint="eastAsia"/>
                      <w:bCs/>
                      <w:spacing w:val="0"/>
                      <w:kern w:val="2"/>
                      <w:sz w:val="16"/>
                      <w:szCs w:val="16"/>
                      <w:lang w:val="en-GB"/>
                    </w:rPr>
                    <w:t>所有以上行業</w:t>
                  </w:r>
                </w:p>
              </w:tc>
              <w:tc>
                <w:tcPr>
                  <w:tcW w:w="706" w:type="dxa"/>
                  <w:shd w:val="clear" w:color="auto" w:fill="auto"/>
                  <w:tcMar>
                    <w:top w:w="15" w:type="dxa"/>
                    <w:left w:w="15" w:type="dxa"/>
                    <w:bottom w:w="0" w:type="dxa"/>
                    <w:right w:w="15" w:type="dxa"/>
                  </w:tcMar>
                  <w:vAlign w:val="center"/>
                </w:tcPr>
                <w:p w14:paraId="39E43A0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-3</w:t>
                  </w:r>
                </w:p>
              </w:tc>
              <w:tc>
                <w:tcPr>
                  <w:tcW w:w="426" w:type="dxa"/>
                  <w:shd w:val="clear" w:color="auto" w:fill="auto"/>
                  <w:tcMar>
                    <w:top w:w="15" w:type="dxa"/>
                    <w:left w:w="15" w:type="dxa"/>
                    <w:bottom w:w="0" w:type="dxa"/>
                    <w:right w:w="15" w:type="dxa"/>
                  </w:tcMar>
                  <w:vAlign w:val="center"/>
                </w:tcPr>
                <w:p w14:paraId="0392ADC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-10</w:t>
                  </w:r>
                </w:p>
              </w:tc>
              <w:tc>
                <w:tcPr>
                  <w:tcW w:w="425" w:type="dxa"/>
                  <w:shd w:val="clear" w:color="auto" w:fill="auto"/>
                  <w:tcMar>
                    <w:top w:w="15" w:type="dxa"/>
                    <w:left w:w="15" w:type="dxa"/>
                    <w:bottom w:w="0" w:type="dxa"/>
                    <w:right w:w="15" w:type="dxa"/>
                  </w:tcMar>
                  <w:vAlign w:val="center"/>
                </w:tcPr>
                <w:p w14:paraId="2D209A1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-9</w:t>
                  </w:r>
                </w:p>
              </w:tc>
              <w:tc>
                <w:tcPr>
                  <w:tcW w:w="425" w:type="dxa"/>
                  <w:vAlign w:val="center"/>
                </w:tcPr>
                <w:p w14:paraId="56C3F0B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-8</w:t>
                  </w:r>
                </w:p>
              </w:tc>
              <w:tc>
                <w:tcPr>
                  <w:tcW w:w="425" w:type="dxa"/>
                  <w:vAlign w:val="center"/>
                </w:tcPr>
                <w:p w14:paraId="35F69B8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-2</w:t>
                  </w:r>
                </w:p>
              </w:tc>
              <w:tc>
                <w:tcPr>
                  <w:tcW w:w="567" w:type="dxa"/>
                  <w:vAlign w:val="center"/>
                </w:tcPr>
                <w:p w14:paraId="50BA992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rPr>
                    <w:t>-3</w:t>
                  </w:r>
                </w:p>
              </w:tc>
            </w:tr>
          </w:tbl>
          <w:p w14:paraId="352B4FFA" w14:textId="77777777" w:rsidR="00CC563B" w:rsidRPr="00CC563B" w:rsidRDefault="00CC563B" w:rsidP="00CC563B">
            <w:pPr>
              <w:widowControl w:val="0"/>
              <w:tabs>
                <w:tab w:val="clear" w:pos="936"/>
                <w:tab w:val="clear" w:pos="1560"/>
                <w:tab w:val="clear" w:pos="2184"/>
                <w:tab w:val="clear" w:pos="2808"/>
              </w:tabs>
              <w:topLinePunct/>
              <w:autoSpaceDE w:val="0"/>
              <w:autoSpaceDN w:val="0"/>
              <w:snapToGrid w:val="0"/>
              <w:spacing w:afterLines="30" w:after="108" w:line="240" w:lineRule="auto"/>
              <w:rPr>
                <w:rFonts w:eastAsia="新細明體"/>
                <w:b/>
                <w:spacing w:val="0"/>
                <w:kern w:val="2"/>
                <w:szCs w:val="24"/>
                <w:lang w:val="en-GB" w:eastAsia="zh-HK"/>
              </w:rPr>
            </w:pPr>
          </w:p>
        </w:tc>
        <w:tc>
          <w:tcPr>
            <w:tcW w:w="4786" w:type="dxa"/>
            <w:gridSpan w:val="2"/>
            <w:shd w:val="clear" w:color="auto" w:fill="auto"/>
          </w:tcPr>
          <w:tbl>
            <w:tblPr>
              <w:tblW w:w="9322" w:type="dxa"/>
              <w:tblLayout w:type="fixed"/>
              <w:tblLook w:val="04A0" w:firstRow="1" w:lastRow="0" w:firstColumn="1" w:lastColumn="0" w:noHBand="0" w:noVBand="1"/>
            </w:tblPr>
            <w:tblGrid>
              <w:gridCol w:w="9322"/>
            </w:tblGrid>
            <w:tr w:rsidR="00CC563B" w:rsidRPr="00CC563B" w14:paraId="4E44C894" w14:textId="77777777" w:rsidTr="00265E5C">
              <w:tc>
                <w:tcPr>
                  <w:tcW w:w="4678" w:type="dxa"/>
                  <w:shd w:val="clear" w:color="auto" w:fill="auto"/>
                </w:tcPr>
                <w:tbl>
                  <w:tblPr>
                    <w:tblW w:w="4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524"/>
                    <w:gridCol w:w="664"/>
                    <w:gridCol w:w="401"/>
                    <w:gridCol w:w="401"/>
                    <w:gridCol w:w="401"/>
                    <w:gridCol w:w="401"/>
                    <w:gridCol w:w="593"/>
                  </w:tblGrid>
                  <w:tr w:rsidR="00CC563B" w:rsidRPr="00CC563B" w14:paraId="1DAF9B6C" w14:textId="77777777" w:rsidTr="00265E5C">
                    <w:trPr>
                      <w:trHeight w:val="115"/>
                    </w:trPr>
                    <w:tc>
                      <w:tcPr>
                        <w:tcW w:w="4385"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59A80408" w14:textId="229083CF" w:rsidR="00CC563B" w:rsidRPr="00CC563B" w:rsidRDefault="00CC563B" w:rsidP="00CC563B">
                        <w:pPr>
                          <w:topLinePunct/>
                          <w:snapToGrid w:val="0"/>
                          <w:spacing w:after="0" w:line="240" w:lineRule="auto"/>
                          <w:jc w:val="center"/>
                          <w:rPr>
                            <w:rFonts w:ascii="華康中黑體" w:eastAsia="華康中黑體" w:hAnsi="華康中黑體" w:cs="華康中黑體"/>
                            <w:bCs/>
                            <w:spacing w:val="0"/>
                            <w:sz w:val="18"/>
                            <w:szCs w:val="18"/>
                          </w:rPr>
                        </w:pPr>
                        <w:r w:rsidRPr="00CC563B">
                          <w:rPr>
                            <w:rFonts w:ascii="華康中黑體" w:eastAsia="華康中黑體" w:hAnsi="華康中黑體" w:cs="華康中黑體" w:hint="eastAsia"/>
                            <w:bCs/>
                            <w:spacing w:val="0"/>
                            <w:sz w:val="18"/>
                            <w:szCs w:val="18"/>
                          </w:rPr>
                          <w:t>業務展望按季統計調查</w:t>
                        </w:r>
                        <w:r w:rsidRPr="00CC563B">
                          <w:rPr>
                            <w:rFonts w:ascii="華康中黑體" w:eastAsia="華康中黑體" w:hAnsi="華康中黑體" w:cs="華康中黑體" w:hint="eastAsia"/>
                            <w:b/>
                            <w:bCs/>
                            <w:spacing w:val="0"/>
                            <w:sz w:val="18"/>
                            <w:szCs w:val="18"/>
                          </w:rPr>
                          <w:t>：</w:t>
                        </w:r>
                        <w:r w:rsidR="00AD6846">
                          <w:rPr>
                            <w:rFonts w:ascii="華康中黑體" w:eastAsia="華康中黑體" w:hAnsi="華康中黑體" w:cs="華康中黑體" w:hint="eastAsia"/>
                            <w:bCs/>
                            <w:spacing w:val="0"/>
                            <w:sz w:val="18"/>
                            <w:szCs w:val="18"/>
                          </w:rPr>
                          <w:t>從</w:t>
                        </w:r>
                        <w:r w:rsidRPr="00CC563B">
                          <w:rPr>
                            <w:rFonts w:ascii="華康中黑體" w:eastAsia="華康中黑體" w:hAnsi="華康中黑體" w:cs="華康中黑體" w:hint="eastAsia"/>
                            <w:bCs/>
                            <w:spacing w:val="0"/>
                            <w:sz w:val="18"/>
                            <w:szCs w:val="18"/>
                          </w:rPr>
                          <w:t>業人數預期變動</w:t>
                        </w:r>
                      </w:p>
                    </w:tc>
                  </w:tr>
                  <w:tr w:rsidR="00CC563B" w:rsidRPr="00CC563B" w14:paraId="2EBC7F97" w14:textId="77777777" w:rsidTr="00265E5C">
                    <w:trPr>
                      <w:trHeight w:val="162"/>
                    </w:trPr>
                    <w:tc>
                      <w:tcPr>
                        <w:tcW w:w="1524" w:type="dxa"/>
                        <w:vMerge w:val="restart"/>
                        <w:shd w:val="clear" w:color="auto" w:fill="auto"/>
                        <w:tcMar>
                          <w:top w:w="15" w:type="dxa"/>
                          <w:left w:w="15" w:type="dxa"/>
                          <w:bottom w:w="0" w:type="dxa"/>
                          <w:right w:w="15" w:type="dxa"/>
                        </w:tcMar>
                        <w:hideMark/>
                      </w:tcPr>
                      <w:p w14:paraId="74EA430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left"/>
                          <w:textAlignment w:val="auto"/>
                          <w:rPr>
                            <w:spacing w:val="0"/>
                            <w:kern w:val="2"/>
                            <w:sz w:val="18"/>
                            <w:szCs w:val="18"/>
                            <w:lang w:val="en-GB"/>
                          </w:rPr>
                        </w:pPr>
                      </w:p>
                    </w:tc>
                    <w:tc>
                      <w:tcPr>
                        <w:tcW w:w="2861" w:type="dxa"/>
                        <w:gridSpan w:val="6"/>
                        <w:shd w:val="clear" w:color="auto" w:fill="auto"/>
                        <w:tcMar>
                          <w:top w:w="15" w:type="dxa"/>
                          <w:left w:w="15" w:type="dxa"/>
                          <w:bottom w:w="0" w:type="dxa"/>
                          <w:right w:w="15" w:type="dxa"/>
                        </w:tcMar>
                        <w:hideMark/>
                      </w:tcPr>
                      <w:p w14:paraId="5A19E6E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Cs/>
                            <w:spacing w:val="0"/>
                            <w:kern w:val="2"/>
                            <w:sz w:val="16"/>
                            <w:szCs w:val="16"/>
                            <w:lang w:val="en-GB"/>
                          </w:rPr>
                        </w:pPr>
                        <w:r w:rsidRPr="00CC563B">
                          <w:rPr>
                            <w:rFonts w:hint="eastAsia"/>
                            <w:bCs/>
                            <w:spacing w:val="0"/>
                            <w:kern w:val="2"/>
                            <w:sz w:val="16"/>
                            <w:szCs w:val="16"/>
                            <w:lang w:val="en-GB"/>
                          </w:rPr>
                          <w:t>淨差額</w:t>
                        </w:r>
                        <w:r w:rsidRPr="00CC563B">
                          <w:rPr>
                            <w:rFonts w:hint="eastAsia"/>
                            <w:bCs/>
                            <w:spacing w:val="0"/>
                            <w:kern w:val="2"/>
                            <w:sz w:val="16"/>
                            <w:szCs w:val="16"/>
                            <w:lang w:val="en-GB"/>
                          </w:rPr>
                          <w:t>* (</w:t>
                        </w:r>
                        <w:r w:rsidRPr="00CC563B">
                          <w:rPr>
                            <w:rFonts w:hint="eastAsia"/>
                            <w:bCs/>
                            <w:spacing w:val="0"/>
                            <w:kern w:val="2"/>
                            <w:sz w:val="16"/>
                            <w:szCs w:val="16"/>
                            <w:lang w:val="en-GB"/>
                          </w:rPr>
                          <w:t>百分點</w:t>
                        </w:r>
                        <w:r w:rsidRPr="00CC563B">
                          <w:rPr>
                            <w:rFonts w:hint="eastAsia"/>
                            <w:bCs/>
                            <w:spacing w:val="0"/>
                            <w:kern w:val="2"/>
                            <w:sz w:val="16"/>
                            <w:szCs w:val="16"/>
                            <w:lang w:val="en-GB"/>
                          </w:rPr>
                          <w:t>)</w:t>
                        </w:r>
                      </w:p>
                    </w:tc>
                  </w:tr>
                  <w:tr w:rsidR="00CC563B" w:rsidRPr="00CC563B" w14:paraId="3B08B78E" w14:textId="77777777" w:rsidTr="00BE566E">
                    <w:trPr>
                      <w:trHeight w:val="152"/>
                    </w:trPr>
                    <w:tc>
                      <w:tcPr>
                        <w:tcW w:w="1524" w:type="dxa"/>
                        <w:vMerge/>
                        <w:shd w:val="clear" w:color="auto" w:fill="auto"/>
                        <w:tcMar>
                          <w:top w:w="15" w:type="dxa"/>
                          <w:left w:w="15" w:type="dxa"/>
                          <w:bottom w:w="0" w:type="dxa"/>
                          <w:right w:w="15" w:type="dxa"/>
                        </w:tcMar>
                      </w:tcPr>
                      <w:p w14:paraId="1077A2D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left"/>
                          <w:textAlignment w:val="auto"/>
                          <w:rPr>
                            <w:spacing w:val="0"/>
                            <w:kern w:val="2"/>
                            <w:sz w:val="18"/>
                            <w:szCs w:val="18"/>
                            <w:lang w:val="en-GB"/>
                          </w:rPr>
                        </w:pPr>
                      </w:p>
                    </w:tc>
                    <w:tc>
                      <w:tcPr>
                        <w:tcW w:w="664" w:type="dxa"/>
                        <w:shd w:val="clear" w:color="auto" w:fill="auto"/>
                        <w:tcMar>
                          <w:top w:w="15" w:type="dxa"/>
                          <w:left w:w="15" w:type="dxa"/>
                          <w:bottom w:w="0" w:type="dxa"/>
                          <w:right w:w="15" w:type="dxa"/>
                        </w:tcMar>
                        <w:vAlign w:val="center"/>
                      </w:tcPr>
                      <w:p w14:paraId="58AFDE69"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二零</w:t>
                        </w:r>
                        <w:r w:rsidRPr="00BE566E">
                          <w:rPr>
                            <w:rFonts w:hint="eastAsia"/>
                            <w:spacing w:val="0"/>
                            <w:kern w:val="2"/>
                            <w:sz w:val="11"/>
                            <w:szCs w:val="11"/>
                            <w:lang w:val="en-GB" w:eastAsia="zh-HK"/>
                          </w:rPr>
                          <w:t>二四</w:t>
                        </w:r>
                        <w:r w:rsidRPr="00BE566E">
                          <w:rPr>
                            <w:rFonts w:hint="eastAsia"/>
                            <w:spacing w:val="0"/>
                            <w:kern w:val="2"/>
                            <w:sz w:val="11"/>
                            <w:szCs w:val="11"/>
                            <w:lang w:val="en-GB"/>
                          </w:rPr>
                          <w:t>年</w:t>
                        </w:r>
                      </w:p>
                    </w:tc>
                    <w:tc>
                      <w:tcPr>
                        <w:tcW w:w="1604" w:type="dxa"/>
                        <w:gridSpan w:val="4"/>
                        <w:shd w:val="clear" w:color="auto" w:fill="auto"/>
                        <w:vAlign w:val="center"/>
                      </w:tcPr>
                      <w:p w14:paraId="6DF45216"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二零</w:t>
                        </w:r>
                        <w:r w:rsidRPr="00BE566E">
                          <w:rPr>
                            <w:rFonts w:hint="eastAsia"/>
                            <w:spacing w:val="0"/>
                            <w:kern w:val="2"/>
                            <w:sz w:val="11"/>
                            <w:szCs w:val="11"/>
                            <w:lang w:val="en-GB" w:eastAsia="zh-HK"/>
                          </w:rPr>
                          <w:t>二五</w:t>
                        </w:r>
                        <w:r w:rsidRPr="00BE566E">
                          <w:rPr>
                            <w:rFonts w:hint="eastAsia"/>
                            <w:spacing w:val="0"/>
                            <w:kern w:val="2"/>
                            <w:sz w:val="11"/>
                            <w:szCs w:val="11"/>
                            <w:lang w:val="en-GB"/>
                          </w:rPr>
                          <w:t>年</w:t>
                        </w:r>
                      </w:p>
                    </w:tc>
                    <w:tc>
                      <w:tcPr>
                        <w:tcW w:w="593" w:type="dxa"/>
                        <w:vAlign w:val="center"/>
                      </w:tcPr>
                      <w:p w14:paraId="50FDFE11"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二零二六年</w:t>
                        </w:r>
                      </w:p>
                    </w:tc>
                  </w:tr>
                  <w:tr w:rsidR="00CC563B" w:rsidRPr="00CC563B" w14:paraId="50E88FCE" w14:textId="77777777" w:rsidTr="00BE566E">
                    <w:trPr>
                      <w:trHeight w:val="261"/>
                    </w:trPr>
                    <w:tc>
                      <w:tcPr>
                        <w:tcW w:w="1524" w:type="dxa"/>
                        <w:vMerge/>
                        <w:shd w:val="clear" w:color="auto" w:fill="auto"/>
                        <w:tcMar>
                          <w:top w:w="15" w:type="dxa"/>
                          <w:left w:w="15" w:type="dxa"/>
                          <w:bottom w:w="0" w:type="dxa"/>
                          <w:right w:w="15" w:type="dxa"/>
                        </w:tcMar>
                        <w:hideMark/>
                      </w:tcPr>
                      <w:p w14:paraId="5876933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left"/>
                          <w:textAlignment w:val="auto"/>
                          <w:rPr>
                            <w:spacing w:val="0"/>
                            <w:kern w:val="2"/>
                            <w:sz w:val="18"/>
                            <w:szCs w:val="18"/>
                            <w:lang w:val="en-GB"/>
                          </w:rPr>
                        </w:pPr>
                      </w:p>
                    </w:tc>
                    <w:tc>
                      <w:tcPr>
                        <w:tcW w:w="664" w:type="dxa"/>
                        <w:shd w:val="clear" w:color="auto" w:fill="auto"/>
                        <w:tcMar>
                          <w:top w:w="15" w:type="dxa"/>
                          <w:left w:w="15" w:type="dxa"/>
                          <w:bottom w:w="0" w:type="dxa"/>
                          <w:right w:w="15" w:type="dxa"/>
                        </w:tcMar>
                        <w:vAlign w:val="center"/>
                      </w:tcPr>
                      <w:p w14:paraId="57FA432D"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第四季</w:t>
                        </w:r>
                      </w:p>
                    </w:tc>
                    <w:tc>
                      <w:tcPr>
                        <w:tcW w:w="401" w:type="dxa"/>
                        <w:shd w:val="clear" w:color="auto" w:fill="auto"/>
                        <w:tcMar>
                          <w:top w:w="15" w:type="dxa"/>
                          <w:left w:w="15" w:type="dxa"/>
                          <w:bottom w:w="0" w:type="dxa"/>
                          <w:right w:w="15" w:type="dxa"/>
                        </w:tcMar>
                        <w:vAlign w:val="center"/>
                      </w:tcPr>
                      <w:p w14:paraId="36EFF6E8"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第一季</w:t>
                        </w:r>
                      </w:p>
                    </w:tc>
                    <w:tc>
                      <w:tcPr>
                        <w:tcW w:w="401" w:type="dxa"/>
                        <w:shd w:val="clear" w:color="auto" w:fill="auto"/>
                        <w:tcMar>
                          <w:top w:w="15" w:type="dxa"/>
                          <w:left w:w="15" w:type="dxa"/>
                          <w:bottom w:w="0" w:type="dxa"/>
                          <w:right w:w="15" w:type="dxa"/>
                        </w:tcMar>
                        <w:vAlign w:val="center"/>
                      </w:tcPr>
                      <w:p w14:paraId="2EDFE8CA"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第二季</w:t>
                        </w:r>
                      </w:p>
                    </w:tc>
                    <w:tc>
                      <w:tcPr>
                        <w:tcW w:w="401" w:type="dxa"/>
                        <w:vAlign w:val="center"/>
                      </w:tcPr>
                      <w:p w14:paraId="5EF2644C"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第三季</w:t>
                        </w:r>
                      </w:p>
                    </w:tc>
                    <w:tc>
                      <w:tcPr>
                        <w:tcW w:w="401" w:type="dxa"/>
                        <w:vAlign w:val="center"/>
                      </w:tcPr>
                      <w:p w14:paraId="13FEAC6D"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第四季</w:t>
                        </w:r>
                      </w:p>
                    </w:tc>
                    <w:tc>
                      <w:tcPr>
                        <w:tcW w:w="593" w:type="dxa"/>
                        <w:vAlign w:val="center"/>
                      </w:tcPr>
                      <w:p w14:paraId="2C298BE5" w14:textId="77777777" w:rsidR="00CC563B" w:rsidRPr="00BE566E" w:rsidRDefault="00CC563B" w:rsidP="00CC563B">
                        <w:pPr>
                          <w:widowControl w:val="0"/>
                          <w:tabs>
                            <w:tab w:val="clear" w:pos="936"/>
                            <w:tab w:val="clear" w:pos="1560"/>
                            <w:tab w:val="clear" w:pos="2184"/>
                            <w:tab w:val="clear" w:pos="2808"/>
                          </w:tabs>
                          <w:overflowPunct/>
                          <w:topLinePunct/>
                          <w:adjustRightInd/>
                          <w:snapToGrid w:val="0"/>
                          <w:spacing w:after="0" w:line="240" w:lineRule="auto"/>
                          <w:jc w:val="center"/>
                          <w:textAlignment w:val="auto"/>
                          <w:rPr>
                            <w:spacing w:val="0"/>
                            <w:kern w:val="2"/>
                            <w:sz w:val="11"/>
                            <w:szCs w:val="11"/>
                            <w:lang w:val="en-GB"/>
                          </w:rPr>
                        </w:pPr>
                        <w:r w:rsidRPr="00BE566E">
                          <w:rPr>
                            <w:rFonts w:hint="eastAsia"/>
                            <w:spacing w:val="0"/>
                            <w:kern w:val="2"/>
                            <w:sz w:val="11"/>
                            <w:szCs w:val="11"/>
                            <w:lang w:val="en-GB"/>
                          </w:rPr>
                          <w:t>第一季</w:t>
                        </w:r>
                      </w:p>
                    </w:tc>
                  </w:tr>
                  <w:tr w:rsidR="00CC563B" w:rsidRPr="00CC563B" w14:paraId="659A4637" w14:textId="77777777" w:rsidTr="00BE566E">
                    <w:trPr>
                      <w:trHeight w:val="254"/>
                    </w:trPr>
                    <w:tc>
                      <w:tcPr>
                        <w:tcW w:w="1524" w:type="dxa"/>
                        <w:shd w:val="clear" w:color="auto" w:fill="auto"/>
                        <w:tcMar>
                          <w:top w:w="15" w:type="dxa"/>
                          <w:left w:w="15" w:type="dxa"/>
                          <w:bottom w:w="0" w:type="dxa"/>
                          <w:right w:w="15" w:type="dxa"/>
                        </w:tcMar>
                        <w:vAlign w:val="center"/>
                      </w:tcPr>
                      <w:p w14:paraId="04E1B3D9"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製造業</w:t>
                        </w:r>
                      </w:p>
                    </w:tc>
                    <w:tc>
                      <w:tcPr>
                        <w:tcW w:w="664" w:type="dxa"/>
                        <w:shd w:val="clear" w:color="auto" w:fill="auto"/>
                        <w:tcMar>
                          <w:top w:w="15" w:type="dxa"/>
                          <w:left w:w="15" w:type="dxa"/>
                          <w:bottom w:w="0" w:type="dxa"/>
                          <w:right w:w="15" w:type="dxa"/>
                        </w:tcMar>
                        <w:vAlign w:val="center"/>
                      </w:tcPr>
                      <w:p w14:paraId="61BD2F6C"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01" w:type="dxa"/>
                        <w:shd w:val="clear" w:color="auto" w:fill="auto"/>
                        <w:tcMar>
                          <w:top w:w="15" w:type="dxa"/>
                          <w:left w:w="15" w:type="dxa"/>
                          <w:bottom w:w="0" w:type="dxa"/>
                          <w:right w:w="15" w:type="dxa"/>
                        </w:tcMar>
                        <w:vAlign w:val="center"/>
                      </w:tcPr>
                      <w:p w14:paraId="31D126C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01" w:type="dxa"/>
                        <w:shd w:val="clear" w:color="auto" w:fill="auto"/>
                        <w:tcMar>
                          <w:top w:w="15" w:type="dxa"/>
                          <w:left w:w="15" w:type="dxa"/>
                          <w:bottom w:w="0" w:type="dxa"/>
                          <w:right w:w="15" w:type="dxa"/>
                        </w:tcMar>
                        <w:vAlign w:val="center"/>
                      </w:tcPr>
                      <w:p w14:paraId="3FC9E41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w:t>
                        </w:r>
                      </w:p>
                    </w:tc>
                    <w:tc>
                      <w:tcPr>
                        <w:tcW w:w="401" w:type="dxa"/>
                        <w:vAlign w:val="center"/>
                      </w:tcPr>
                      <w:p w14:paraId="3F3FC52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01" w:type="dxa"/>
                        <w:vAlign w:val="center"/>
                      </w:tcPr>
                      <w:p w14:paraId="0C7B6CF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+15</w:t>
                        </w:r>
                      </w:p>
                    </w:tc>
                    <w:tc>
                      <w:tcPr>
                        <w:tcW w:w="593" w:type="dxa"/>
                        <w:vAlign w:val="center"/>
                      </w:tcPr>
                      <w:p w14:paraId="76102CF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+10</w:t>
                        </w:r>
                      </w:p>
                    </w:tc>
                  </w:tr>
                  <w:tr w:rsidR="00CC563B" w:rsidRPr="00CC563B" w14:paraId="4502C442" w14:textId="77777777" w:rsidTr="00BE566E">
                    <w:trPr>
                      <w:trHeight w:val="254"/>
                    </w:trPr>
                    <w:tc>
                      <w:tcPr>
                        <w:tcW w:w="1524" w:type="dxa"/>
                        <w:shd w:val="clear" w:color="auto" w:fill="auto"/>
                        <w:tcMar>
                          <w:top w:w="15" w:type="dxa"/>
                          <w:left w:w="15" w:type="dxa"/>
                          <w:bottom w:w="0" w:type="dxa"/>
                          <w:right w:w="15" w:type="dxa"/>
                        </w:tcMar>
                        <w:vAlign w:val="center"/>
                      </w:tcPr>
                      <w:p w14:paraId="6A848C43"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建造業</w:t>
                        </w:r>
                      </w:p>
                    </w:tc>
                    <w:tc>
                      <w:tcPr>
                        <w:tcW w:w="664" w:type="dxa"/>
                        <w:shd w:val="clear" w:color="auto" w:fill="auto"/>
                        <w:tcMar>
                          <w:top w:w="15" w:type="dxa"/>
                          <w:left w:w="15" w:type="dxa"/>
                          <w:bottom w:w="0" w:type="dxa"/>
                          <w:right w:w="15" w:type="dxa"/>
                        </w:tcMar>
                        <w:vAlign w:val="center"/>
                      </w:tcPr>
                      <w:p w14:paraId="7A05CFD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-7</w:t>
                        </w:r>
                      </w:p>
                    </w:tc>
                    <w:tc>
                      <w:tcPr>
                        <w:tcW w:w="401" w:type="dxa"/>
                        <w:shd w:val="clear" w:color="auto" w:fill="auto"/>
                        <w:tcMar>
                          <w:top w:w="15" w:type="dxa"/>
                          <w:left w:w="15" w:type="dxa"/>
                          <w:bottom w:w="0" w:type="dxa"/>
                          <w:right w:w="15" w:type="dxa"/>
                        </w:tcMar>
                        <w:vAlign w:val="center"/>
                      </w:tcPr>
                      <w:p w14:paraId="4C033B5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-12</w:t>
                        </w:r>
                      </w:p>
                    </w:tc>
                    <w:tc>
                      <w:tcPr>
                        <w:tcW w:w="401" w:type="dxa"/>
                        <w:shd w:val="clear" w:color="auto" w:fill="auto"/>
                        <w:tcMar>
                          <w:top w:w="15" w:type="dxa"/>
                          <w:left w:w="15" w:type="dxa"/>
                          <w:bottom w:w="0" w:type="dxa"/>
                          <w:right w:w="15" w:type="dxa"/>
                        </w:tcMar>
                        <w:vAlign w:val="center"/>
                      </w:tcPr>
                      <w:p w14:paraId="3308DA37"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-12</w:t>
                        </w:r>
                      </w:p>
                    </w:tc>
                    <w:tc>
                      <w:tcPr>
                        <w:tcW w:w="401" w:type="dxa"/>
                        <w:vAlign w:val="center"/>
                      </w:tcPr>
                      <w:p w14:paraId="75A846B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01" w:type="dxa"/>
                        <w:vAlign w:val="center"/>
                      </w:tcPr>
                      <w:p w14:paraId="53AEF44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-9</w:t>
                        </w:r>
                      </w:p>
                    </w:tc>
                    <w:tc>
                      <w:tcPr>
                        <w:tcW w:w="593" w:type="dxa"/>
                        <w:vAlign w:val="center"/>
                      </w:tcPr>
                      <w:p w14:paraId="79DD9750"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-26</w:t>
                        </w:r>
                      </w:p>
                    </w:tc>
                  </w:tr>
                  <w:tr w:rsidR="00CC563B" w:rsidRPr="00CC563B" w14:paraId="3E0E7B2C" w14:textId="77777777" w:rsidTr="00BE566E">
                    <w:trPr>
                      <w:trHeight w:val="254"/>
                    </w:trPr>
                    <w:tc>
                      <w:tcPr>
                        <w:tcW w:w="1524" w:type="dxa"/>
                        <w:shd w:val="clear" w:color="auto" w:fill="auto"/>
                        <w:tcMar>
                          <w:top w:w="15" w:type="dxa"/>
                          <w:left w:w="15" w:type="dxa"/>
                          <w:bottom w:w="0" w:type="dxa"/>
                          <w:right w:w="15" w:type="dxa"/>
                        </w:tcMar>
                        <w:vAlign w:val="center"/>
                        <w:hideMark/>
                      </w:tcPr>
                      <w:p w14:paraId="162FFCE8"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進出口貿易及批發業</w:t>
                        </w:r>
                      </w:p>
                    </w:tc>
                    <w:tc>
                      <w:tcPr>
                        <w:tcW w:w="664" w:type="dxa"/>
                        <w:shd w:val="clear" w:color="auto" w:fill="auto"/>
                        <w:tcMar>
                          <w:top w:w="15" w:type="dxa"/>
                          <w:left w:w="15" w:type="dxa"/>
                          <w:bottom w:w="0" w:type="dxa"/>
                          <w:right w:w="15" w:type="dxa"/>
                        </w:tcMar>
                        <w:vAlign w:val="center"/>
                      </w:tcPr>
                      <w:p w14:paraId="4A061D7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01" w:type="dxa"/>
                        <w:shd w:val="clear" w:color="auto" w:fill="auto"/>
                        <w:tcMar>
                          <w:top w:w="15" w:type="dxa"/>
                          <w:left w:w="15" w:type="dxa"/>
                          <w:bottom w:w="0" w:type="dxa"/>
                          <w:right w:w="15" w:type="dxa"/>
                        </w:tcMar>
                        <w:vAlign w:val="center"/>
                      </w:tcPr>
                      <w:p w14:paraId="67A4EEC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01" w:type="dxa"/>
                        <w:shd w:val="clear" w:color="auto" w:fill="auto"/>
                        <w:tcMar>
                          <w:top w:w="15" w:type="dxa"/>
                          <w:left w:w="15" w:type="dxa"/>
                          <w:bottom w:w="0" w:type="dxa"/>
                          <w:right w:w="15" w:type="dxa"/>
                        </w:tcMar>
                        <w:vAlign w:val="center"/>
                      </w:tcPr>
                      <w:p w14:paraId="3D699AB1"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w:t>
                        </w:r>
                      </w:p>
                    </w:tc>
                    <w:tc>
                      <w:tcPr>
                        <w:tcW w:w="401" w:type="dxa"/>
                        <w:vAlign w:val="center"/>
                      </w:tcPr>
                      <w:p w14:paraId="176053F1"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01" w:type="dxa"/>
                        <w:vAlign w:val="center"/>
                      </w:tcPr>
                      <w:p w14:paraId="6580FDA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0</w:t>
                        </w:r>
                      </w:p>
                    </w:tc>
                    <w:tc>
                      <w:tcPr>
                        <w:tcW w:w="593" w:type="dxa"/>
                        <w:vAlign w:val="center"/>
                      </w:tcPr>
                      <w:p w14:paraId="208F8C8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+3</w:t>
                        </w:r>
                      </w:p>
                    </w:tc>
                  </w:tr>
                  <w:tr w:rsidR="00CC563B" w:rsidRPr="00CC563B" w14:paraId="31CB958A" w14:textId="77777777" w:rsidTr="00BE566E">
                    <w:trPr>
                      <w:trHeight w:val="254"/>
                    </w:trPr>
                    <w:tc>
                      <w:tcPr>
                        <w:tcW w:w="1524" w:type="dxa"/>
                        <w:shd w:val="clear" w:color="auto" w:fill="auto"/>
                        <w:tcMar>
                          <w:top w:w="15" w:type="dxa"/>
                          <w:left w:w="15" w:type="dxa"/>
                          <w:bottom w:w="0" w:type="dxa"/>
                          <w:right w:w="15" w:type="dxa"/>
                        </w:tcMar>
                        <w:vAlign w:val="center"/>
                        <w:hideMark/>
                      </w:tcPr>
                      <w:p w14:paraId="4C980AF2"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零售業</w:t>
                        </w:r>
                      </w:p>
                    </w:tc>
                    <w:tc>
                      <w:tcPr>
                        <w:tcW w:w="664" w:type="dxa"/>
                        <w:shd w:val="clear" w:color="auto" w:fill="auto"/>
                        <w:tcMar>
                          <w:top w:w="15" w:type="dxa"/>
                          <w:left w:w="15" w:type="dxa"/>
                          <w:bottom w:w="0" w:type="dxa"/>
                          <w:right w:w="15" w:type="dxa"/>
                        </w:tcMar>
                        <w:vAlign w:val="center"/>
                      </w:tcPr>
                      <w:p w14:paraId="7FE8B61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w:t>
                        </w:r>
                      </w:p>
                    </w:tc>
                    <w:tc>
                      <w:tcPr>
                        <w:tcW w:w="401" w:type="dxa"/>
                        <w:shd w:val="clear" w:color="auto" w:fill="auto"/>
                        <w:tcMar>
                          <w:top w:w="15" w:type="dxa"/>
                          <w:left w:w="15" w:type="dxa"/>
                          <w:bottom w:w="0" w:type="dxa"/>
                          <w:right w:w="15" w:type="dxa"/>
                        </w:tcMar>
                        <w:vAlign w:val="center"/>
                      </w:tcPr>
                      <w:p w14:paraId="1D9E517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0</w:t>
                        </w:r>
                      </w:p>
                    </w:tc>
                    <w:tc>
                      <w:tcPr>
                        <w:tcW w:w="401" w:type="dxa"/>
                        <w:shd w:val="clear" w:color="auto" w:fill="auto"/>
                        <w:tcMar>
                          <w:top w:w="15" w:type="dxa"/>
                          <w:left w:w="15" w:type="dxa"/>
                          <w:bottom w:w="0" w:type="dxa"/>
                          <w:right w:w="15" w:type="dxa"/>
                        </w:tcMar>
                        <w:vAlign w:val="center"/>
                      </w:tcPr>
                      <w:p w14:paraId="5DA83C9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w:t>
                        </w:r>
                      </w:p>
                    </w:tc>
                    <w:tc>
                      <w:tcPr>
                        <w:tcW w:w="401" w:type="dxa"/>
                        <w:vAlign w:val="center"/>
                      </w:tcPr>
                      <w:p w14:paraId="1A29381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0</w:t>
                        </w:r>
                      </w:p>
                    </w:tc>
                    <w:tc>
                      <w:tcPr>
                        <w:tcW w:w="401" w:type="dxa"/>
                        <w:vAlign w:val="center"/>
                      </w:tcPr>
                      <w:p w14:paraId="3A59658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-12</w:t>
                        </w:r>
                      </w:p>
                    </w:tc>
                    <w:tc>
                      <w:tcPr>
                        <w:tcW w:w="593" w:type="dxa"/>
                        <w:vAlign w:val="center"/>
                      </w:tcPr>
                      <w:p w14:paraId="1299CFF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-4</w:t>
                        </w:r>
                      </w:p>
                    </w:tc>
                  </w:tr>
                  <w:tr w:rsidR="00CC563B" w:rsidRPr="00CC563B" w14:paraId="27861EF3" w14:textId="77777777" w:rsidTr="00BE566E">
                    <w:trPr>
                      <w:trHeight w:val="254"/>
                    </w:trPr>
                    <w:tc>
                      <w:tcPr>
                        <w:tcW w:w="1524" w:type="dxa"/>
                        <w:shd w:val="clear" w:color="auto" w:fill="auto"/>
                        <w:tcMar>
                          <w:top w:w="15" w:type="dxa"/>
                          <w:left w:w="15" w:type="dxa"/>
                          <w:bottom w:w="0" w:type="dxa"/>
                          <w:right w:w="15" w:type="dxa"/>
                        </w:tcMar>
                        <w:vAlign w:val="center"/>
                        <w:hideMark/>
                      </w:tcPr>
                      <w:p w14:paraId="6A349710"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住宿及膳食服務業</w:t>
                        </w:r>
                      </w:p>
                    </w:tc>
                    <w:tc>
                      <w:tcPr>
                        <w:tcW w:w="664" w:type="dxa"/>
                        <w:shd w:val="clear" w:color="auto" w:fill="auto"/>
                        <w:tcMar>
                          <w:top w:w="15" w:type="dxa"/>
                          <w:left w:w="15" w:type="dxa"/>
                          <w:bottom w:w="0" w:type="dxa"/>
                          <w:right w:w="15" w:type="dxa"/>
                        </w:tcMar>
                        <w:vAlign w:val="center"/>
                      </w:tcPr>
                      <w:p w14:paraId="7E94290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-7</w:t>
                        </w:r>
                      </w:p>
                    </w:tc>
                    <w:tc>
                      <w:tcPr>
                        <w:tcW w:w="401" w:type="dxa"/>
                        <w:shd w:val="clear" w:color="auto" w:fill="auto"/>
                        <w:tcMar>
                          <w:top w:w="15" w:type="dxa"/>
                          <w:left w:w="15" w:type="dxa"/>
                          <w:bottom w:w="0" w:type="dxa"/>
                          <w:right w:w="15" w:type="dxa"/>
                        </w:tcMar>
                        <w:vAlign w:val="center"/>
                      </w:tcPr>
                      <w:p w14:paraId="14F7318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-5</w:t>
                        </w:r>
                      </w:p>
                    </w:tc>
                    <w:tc>
                      <w:tcPr>
                        <w:tcW w:w="401" w:type="dxa"/>
                        <w:shd w:val="clear" w:color="auto" w:fill="auto"/>
                        <w:tcMar>
                          <w:top w:w="15" w:type="dxa"/>
                          <w:left w:w="15" w:type="dxa"/>
                          <w:bottom w:w="0" w:type="dxa"/>
                          <w:right w:w="15" w:type="dxa"/>
                        </w:tcMar>
                        <w:vAlign w:val="center"/>
                      </w:tcPr>
                      <w:p w14:paraId="6A33302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-22</w:t>
                        </w:r>
                      </w:p>
                    </w:tc>
                    <w:tc>
                      <w:tcPr>
                        <w:tcW w:w="401" w:type="dxa"/>
                        <w:vAlign w:val="center"/>
                      </w:tcPr>
                      <w:p w14:paraId="48CB1F8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-7</w:t>
                        </w:r>
                      </w:p>
                    </w:tc>
                    <w:tc>
                      <w:tcPr>
                        <w:tcW w:w="401" w:type="dxa"/>
                        <w:vAlign w:val="center"/>
                      </w:tcPr>
                      <w:p w14:paraId="33859CA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+5</w:t>
                        </w:r>
                      </w:p>
                    </w:tc>
                    <w:tc>
                      <w:tcPr>
                        <w:tcW w:w="593" w:type="dxa"/>
                        <w:vAlign w:val="center"/>
                      </w:tcPr>
                      <w:p w14:paraId="27D8140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+6</w:t>
                        </w:r>
                      </w:p>
                    </w:tc>
                  </w:tr>
                  <w:tr w:rsidR="00CC563B" w:rsidRPr="00CC563B" w14:paraId="5F11082B" w14:textId="77777777" w:rsidTr="00BE566E">
                    <w:trPr>
                      <w:trHeight w:val="254"/>
                    </w:trPr>
                    <w:tc>
                      <w:tcPr>
                        <w:tcW w:w="1524" w:type="dxa"/>
                        <w:shd w:val="clear" w:color="auto" w:fill="auto"/>
                        <w:tcMar>
                          <w:top w:w="15" w:type="dxa"/>
                          <w:left w:w="15" w:type="dxa"/>
                          <w:bottom w:w="0" w:type="dxa"/>
                          <w:right w:w="15" w:type="dxa"/>
                        </w:tcMar>
                        <w:vAlign w:val="center"/>
                        <w:hideMark/>
                      </w:tcPr>
                      <w:p w14:paraId="5F5E1D27"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運輸、倉庫及速遞服務業</w:t>
                        </w:r>
                      </w:p>
                    </w:tc>
                    <w:tc>
                      <w:tcPr>
                        <w:tcW w:w="664" w:type="dxa"/>
                        <w:shd w:val="clear" w:color="auto" w:fill="auto"/>
                        <w:tcMar>
                          <w:top w:w="15" w:type="dxa"/>
                          <w:left w:w="15" w:type="dxa"/>
                          <w:bottom w:w="0" w:type="dxa"/>
                          <w:right w:w="15" w:type="dxa"/>
                        </w:tcMar>
                        <w:vAlign w:val="center"/>
                      </w:tcPr>
                      <w:p w14:paraId="389148F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+10</w:t>
                        </w:r>
                      </w:p>
                    </w:tc>
                    <w:tc>
                      <w:tcPr>
                        <w:tcW w:w="401" w:type="dxa"/>
                        <w:shd w:val="clear" w:color="auto" w:fill="auto"/>
                        <w:tcMar>
                          <w:top w:w="15" w:type="dxa"/>
                          <w:left w:w="15" w:type="dxa"/>
                          <w:bottom w:w="0" w:type="dxa"/>
                          <w:right w:w="15" w:type="dxa"/>
                        </w:tcMar>
                        <w:vAlign w:val="center"/>
                      </w:tcPr>
                      <w:p w14:paraId="38A8355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w:t>
                        </w:r>
                      </w:p>
                    </w:tc>
                    <w:tc>
                      <w:tcPr>
                        <w:tcW w:w="401" w:type="dxa"/>
                        <w:shd w:val="clear" w:color="auto" w:fill="auto"/>
                        <w:tcMar>
                          <w:top w:w="15" w:type="dxa"/>
                          <w:left w:w="15" w:type="dxa"/>
                          <w:bottom w:w="0" w:type="dxa"/>
                          <w:right w:w="15" w:type="dxa"/>
                        </w:tcMar>
                        <w:vAlign w:val="center"/>
                      </w:tcPr>
                      <w:p w14:paraId="28134B1C"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01" w:type="dxa"/>
                        <w:vAlign w:val="center"/>
                      </w:tcPr>
                      <w:p w14:paraId="0735385C"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+9</w:t>
                        </w:r>
                      </w:p>
                    </w:tc>
                    <w:tc>
                      <w:tcPr>
                        <w:tcW w:w="401" w:type="dxa"/>
                        <w:vAlign w:val="center"/>
                      </w:tcPr>
                      <w:p w14:paraId="1FBFC3F7"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+7</w:t>
                        </w:r>
                      </w:p>
                    </w:tc>
                    <w:tc>
                      <w:tcPr>
                        <w:tcW w:w="593" w:type="dxa"/>
                        <w:vAlign w:val="center"/>
                      </w:tcPr>
                      <w:p w14:paraId="1ACDAA7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-19</w:t>
                        </w:r>
                      </w:p>
                    </w:tc>
                  </w:tr>
                  <w:tr w:rsidR="00CC563B" w:rsidRPr="00CC563B" w14:paraId="29DF82B8" w14:textId="77777777" w:rsidTr="00BE566E">
                    <w:trPr>
                      <w:trHeight w:val="254"/>
                    </w:trPr>
                    <w:tc>
                      <w:tcPr>
                        <w:tcW w:w="1524" w:type="dxa"/>
                        <w:shd w:val="clear" w:color="auto" w:fill="auto"/>
                        <w:tcMar>
                          <w:top w:w="15" w:type="dxa"/>
                          <w:left w:w="15" w:type="dxa"/>
                          <w:bottom w:w="0" w:type="dxa"/>
                          <w:right w:w="15" w:type="dxa"/>
                        </w:tcMar>
                        <w:vAlign w:val="center"/>
                        <w:hideMark/>
                      </w:tcPr>
                      <w:p w14:paraId="2B734645"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資訊及通訊業</w:t>
                        </w:r>
                      </w:p>
                    </w:tc>
                    <w:tc>
                      <w:tcPr>
                        <w:tcW w:w="664" w:type="dxa"/>
                        <w:shd w:val="clear" w:color="auto" w:fill="auto"/>
                        <w:tcMar>
                          <w:top w:w="15" w:type="dxa"/>
                          <w:left w:w="15" w:type="dxa"/>
                          <w:bottom w:w="0" w:type="dxa"/>
                          <w:right w:w="15" w:type="dxa"/>
                        </w:tcMar>
                        <w:vAlign w:val="center"/>
                      </w:tcPr>
                      <w:p w14:paraId="005B871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01" w:type="dxa"/>
                        <w:shd w:val="clear" w:color="auto" w:fill="auto"/>
                        <w:tcMar>
                          <w:top w:w="15" w:type="dxa"/>
                          <w:left w:w="15" w:type="dxa"/>
                          <w:bottom w:w="0" w:type="dxa"/>
                          <w:right w:w="15" w:type="dxa"/>
                        </w:tcMar>
                        <w:vAlign w:val="center"/>
                      </w:tcPr>
                      <w:p w14:paraId="5259E514"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-7</w:t>
                        </w:r>
                      </w:p>
                    </w:tc>
                    <w:tc>
                      <w:tcPr>
                        <w:tcW w:w="401" w:type="dxa"/>
                        <w:shd w:val="clear" w:color="auto" w:fill="auto"/>
                        <w:tcMar>
                          <w:top w:w="15" w:type="dxa"/>
                          <w:left w:w="15" w:type="dxa"/>
                          <w:bottom w:w="0" w:type="dxa"/>
                          <w:right w:w="15" w:type="dxa"/>
                        </w:tcMar>
                        <w:vAlign w:val="center"/>
                      </w:tcPr>
                      <w:p w14:paraId="5DB60FCD"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01" w:type="dxa"/>
                        <w:vAlign w:val="center"/>
                      </w:tcPr>
                      <w:p w14:paraId="2C89040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-13</w:t>
                        </w:r>
                      </w:p>
                    </w:tc>
                    <w:tc>
                      <w:tcPr>
                        <w:tcW w:w="401" w:type="dxa"/>
                        <w:vAlign w:val="center"/>
                      </w:tcPr>
                      <w:p w14:paraId="1F6CC1E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w:t>
                        </w:r>
                      </w:p>
                    </w:tc>
                    <w:tc>
                      <w:tcPr>
                        <w:tcW w:w="593" w:type="dxa"/>
                        <w:vAlign w:val="center"/>
                      </w:tcPr>
                      <w:p w14:paraId="2A58C08C"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-4</w:t>
                        </w:r>
                      </w:p>
                    </w:tc>
                  </w:tr>
                  <w:tr w:rsidR="00CC563B" w:rsidRPr="00CC563B" w14:paraId="39A82480" w14:textId="77777777" w:rsidTr="00BE566E">
                    <w:trPr>
                      <w:trHeight w:val="254"/>
                    </w:trPr>
                    <w:tc>
                      <w:tcPr>
                        <w:tcW w:w="1524" w:type="dxa"/>
                        <w:shd w:val="clear" w:color="auto" w:fill="auto"/>
                        <w:tcMar>
                          <w:top w:w="15" w:type="dxa"/>
                          <w:left w:w="15" w:type="dxa"/>
                          <w:bottom w:w="0" w:type="dxa"/>
                          <w:right w:w="15" w:type="dxa"/>
                        </w:tcMar>
                        <w:vAlign w:val="center"/>
                      </w:tcPr>
                      <w:p w14:paraId="7EA687BC"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金融及保險業</w:t>
                        </w:r>
                      </w:p>
                    </w:tc>
                    <w:tc>
                      <w:tcPr>
                        <w:tcW w:w="664" w:type="dxa"/>
                        <w:shd w:val="clear" w:color="auto" w:fill="auto"/>
                        <w:tcMar>
                          <w:top w:w="15" w:type="dxa"/>
                          <w:left w:w="15" w:type="dxa"/>
                          <w:bottom w:w="0" w:type="dxa"/>
                          <w:right w:w="15" w:type="dxa"/>
                        </w:tcMar>
                        <w:vAlign w:val="center"/>
                      </w:tcPr>
                      <w:p w14:paraId="55B22EA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+5</w:t>
                        </w:r>
                      </w:p>
                    </w:tc>
                    <w:tc>
                      <w:tcPr>
                        <w:tcW w:w="401" w:type="dxa"/>
                        <w:shd w:val="clear" w:color="auto" w:fill="auto"/>
                        <w:tcMar>
                          <w:top w:w="15" w:type="dxa"/>
                          <w:left w:w="15" w:type="dxa"/>
                          <w:bottom w:w="0" w:type="dxa"/>
                          <w:right w:w="15" w:type="dxa"/>
                        </w:tcMar>
                        <w:vAlign w:val="center"/>
                      </w:tcPr>
                      <w:p w14:paraId="2FB4CA8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+9</w:t>
                        </w:r>
                      </w:p>
                    </w:tc>
                    <w:tc>
                      <w:tcPr>
                        <w:tcW w:w="401" w:type="dxa"/>
                        <w:shd w:val="clear" w:color="auto" w:fill="auto"/>
                        <w:tcMar>
                          <w:top w:w="15" w:type="dxa"/>
                          <w:left w:w="15" w:type="dxa"/>
                          <w:bottom w:w="0" w:type="dxa"/>
                          <w:right w:w="15" w:type="dxa"/>
                        </w:tcMar>
                        <w:vAlign w:val="center"/>
                      </w:tcPr>
                      <w:p w14:paraId="45C9B12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01" w:type="dxa"/>
                        <w:vAlign w:val="center"/>
                      </w:tcPr>
                      <w:p w14:paraId="659DC310"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+4</w:t>
                        </w:r>
                      </w:p>
                    </w:tc>
                    <w:tc>
                      <w:tcPr>
                        <w:tcW w:w="401" w:type="dxa"/>
                        <w:vAlign w:val="center"/>
                      </w:tcPr>
                      <w:p w14:paraId="705128DB"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+2</w:t>
                        </w:r>
                      </w:p>
                    </w:tc>
                    <w:tc>
                      <w:tcPr>
                        <w:tcW w:w="593" w:type="dxa"/>
                        <w:vAlign w:val="center"/>
                      </w:tcPr>
                      <w:p w14:paraId="749956E9"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+7</w:t>
                        </w:r>
                      </w:p>
                    </w:tc>
                  </w:tr>
                  <w:tr w:rsidR="00CC563B" w:rsidRPr="00CC563B" w14:paraId="469A6FD4" w14:textId="77777777" w:rsidTr="00BE566E">
                    <w:trPr>
                      <w:trHeight w:val="254"/>
                    </w:trPr>
                    <w:tc>
                      <w:tcPr>
                        <w:tcW w:w="1524" w:type="dxa"/>
                        <w:shd w:val="clear" w:color="auto" w:fill="auto"/>
                        <w:tcMar>
                          <w:top w:w="15" w:type="dxa"/>
                          <w:left w:w="15" w:type="dxa"/>
                          <w:bottom w:w="0" w:type="dxa"/>
                          <w:right w:w="15" w:type="dxa"/>
                        </w:tcMar>
                        <w:vAlign w:val="center"/>
                        <w:hideMark/>
                      </w:tcPr>
                      <w:p w14:paraId="028D2615"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地產業</w:t>
                        </w:r>
                      </w:p>
                    </w:tc>
                    <w:tc>
                      <w:tcPr>
                        <w:tcW w:w="664" w:type="dxa"/>
                        <w:shd w:val="clear" w:color="auto" w:fill="auto"/>
                        <w:tcMar>
                          <w:top w:w="15" w:type="dxa"/>
                          <w:left w:w="15" w:type="dxa"/>
                          <w:bottom w:w="0" w:type="dxa"/>
                          <w:right w:w="15" w:type="dxa"/>
                        </w:tcMar>
                        <w:vAlign w:val="center"/>
                      </w:tcPr>
                      <w:p w14:paraId="7BFAB67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+9</w:t>
                        </w:r>
                      </w:p>
                    </w:tc>
                    <w:tc>
                      <w:tcPr>
                        <w:tcW w:w="401" w:type="dxa"/>
                        <w:shd w:val="clear" w:color="auto" w:fill="auto"/>
                        <w:tcMar>
                          <w:top w:w="15" w:type="dxa"/>
                          <w:left w:w="15" w:type="dxa"/>
                          <w:bottom w:w="0" w:type="dxa"/>
                          <w:right w:w="15" w:type="dxa"/>
                        </w:tcMar>
                        <w:vAlign w:val="center"/>
                      </w:tcPr>
                      <w:p w14:paraId="5C36CDF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w:t>
                        </w:r>
                      </w:p>
                    </w:tc>
                    <w:tc>
                      <w:tcPr>
                        <w:tcW w:w="401" w:type="dxa"/>
                        <w:shd w:val="clear" w:color="auto" w:fill="auto"/>
                        <w:tcMar>
                          <w:top w:w="15" w:type="dxa"/>
                          <w:left w:w="15" w:type="dxa"/>
                          <w:bottom w:w="0" w:type="dxa"/>
                          <w:right w:w="15" w:type="dxa"/>
                        </w:tcMar>
                        <w:vAlign w:val="center"/>
                      </w:tcPr>
                      <w:p w14:paraId="3D8892A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+15</w:t>
                        </w:r>
                      </w:p>
                    </w:tc>
                    <w:tc>
                      <w:tcPr>
                        <w:tcW w:w="401" w:type="dxa"/>
                        <w:vAlign w:val="center"/>
                      </w:tcPr>
                      <w:p w14:paraId="3B6F48FE"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+10</w:t>
                        </w:r>
                      </w:p>
                    </w:tc>
                    <w:tc>
                      <w:tcPr>
                        <w:tcW w:w="401" w:type="dxa"/>
                        <w:vAlign w:val="center"/>
                      </w:tcPr>
                      <w:p w14:paraId="37500BD2"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+11</w:t>
                        </w:r>
                      </w:p>
                    </w:tc>
                    <w:tc>
                      <w:tcPr>
                        <w:tcW w:w="593" w:type="dxa"/>
                        <w:vAlign w:val="center"/>
                      </w:tcPr>
                      <w:p w14:paraId="14E23F1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+10</w:t>
                        </w:r>
                      </w:p>
                    </w:tc>
                  </w:tr>
                  <w:tr w:rsidR="00CC563B" w:rsidRPr="00CC563B" w14:paraId="2D0B0B37" w14:textId="77777777" w:rsidTr="00BE566E">
                    <w:trPr>
                      <w:trHeight w:val="254"/>
                    </w:trPr>
                    <w:tc>
                      <w:tcPr>
                        <w:tcW w:w="1524" w:type="dxa"/>
                        <w:shd w:val="clear" w:color="auto" w:fill="auto"/>
                        <w:tcMar>
                          <w:top w:w="15" w:type="dxa"/>
                          <w:left w:w="15" w:type="dxa"/>
                          <w:bottom w:w="0" w:type="dxa"/>
                          <w:right w:w="15" w:type="dxa"/>
                        </w:tcMar>
                        <w:vAlign w:val="center"/>
                        <w:hideMark/>
                      </w:tcPr>
                      <w:p w14:paraId="2DC0ED23"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spacing w:val="0"/>
                            <w:kern w:val="2"/>
                            <w:sz w:val="16"/>
                            <w:szCs w:val="16"/>
                            <w:lang w:val="en-GB"/>
                          </w:rPr>
                        </w:pPr>
                        <w:r w:rsidRPr="00CC563B">
                          <w:rPr>
                            <w:rFonts w:cs="華康細明體" w:hint="eastAsia"/>
                            <w:spacing w:val="0"/>
                            <w:kern w:val="2"/>
                            <w:sz w:val="16"/>
                            <w:szCs w:val="16"/>
                            <w:lang w:val="en-GB"/>
                          </w:rPr>
                          <w:t>專業及商用服務業</w:t>
                        </w:r>
                      </w:p>
                    </w:tc>
                    <w:tc>
                      <w:tcPr>
                        <w:tcW w:w="664" w:type="dxa"/>
                        <w:shd w:val="clear" w:color="auto" w:fill="auto"/>
                        <w:tcMar>
                          <w:top w:w="15" w:type="dxa"/>
                          <w:left w:w="15" w:type="dxa"/>
                          <w:bottom w:w="0" w:type="dxa"/>
                          <w:right w:w="15" w:type="dxa"/>
                        </w:tcMar>
                        <w:vAlign w:val="center"/>
                      </w:tcPr>
                      <w:p w14:paraId="5D561860"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01" w:type="dxa"/>
                        <w:shd w:val="clear" w:color="auto" w:fill="auto"/>
                        <w:tcMar>
                          <w:top w:w="15" w:type="dxa"/>
                          <w:left w:w="15" w:type="dxa"/>
                          <w:bottom w:w="0" w:type="dxa"/>
                          <w:right w:w="15" w:type="dxa"/>
                        </w:tcMar>
                        <w:vAlign w:val="center"/>
                      </w:tcPr>
                      <w:p w14:paraId="4AF211B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-5</w:t>
                        </w:r>
                      </w:p>
                    </w:tc>
                    <w:tc>
                      <w:tcPr>
                        <w:tcW w:w="401" w:type="dxa"/>
                        <w:shd w:val="clear" w:color="auto" w:fill="auto"/>
                        <w:tcMar>
                          <w:top w:w="15" w:type="dxa"/>
                          <w:left w:w="15" w:type="dxa"/>
                          <w:bottom w:w="0" w:type="dxa"/>
                          <w:right w:w="15" w:type="dxa"/>
                        </w:tcMar>
                        <w:vAlign w:val="center"/>
                      </w:tcPr>
                      <w:p w14:paraId="439E501A"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-3</w:t>
                        </w:r>
                      </w:p>
                    </w:tc>
                    <w:tc>
                      <w:tcPr>
                        <w:tcW w:w="401" w:type="dxa"/>
                        <w:vAlign w:val="center"/>
                      </w:tcPr>
                      <w:p w14:paraId="2B73DF3F"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-6</w:t>
                        </w:r>
                      </w:p>
                    </w:tc>
                    <w:tc>
                      <w:tcPr>
                        <w:tcW w:w="401" w:type="dxa"/>
                        <w:vAlign w:val="center"/>
                      </w:tcPr>
                      <w:p w14:paraId="174839A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spacing w:val="0"/>
                            <w:sz w:val="16"/>
                            <w:szCs w:val="16"/>
                            <w:lang w:eastAsia="zh-HK"/>
                          </w:rPr>
                          <w:t>-10</w:t>
                        </w:r>
                      </w:p>
                    </w:tc>
                    <w:tc>
                      <w:tcPr>
                        <w:tcW w:w="593" w:type="dxa"/>
                        <w:vAlign w:val="center"/>
                      </w:tcPr>
                      <w:p w14:paraId="48D84CE7"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spacing w:val="0"/>
                            <w:sz w:val="16"/>
                            <w:szCs w:val="16"/>
                            <w:lang w:eastAsia="zh-HK"/>
                          </w:rPr>
                        </w:pPr>
                        <w:r w:rsidRPr="00CC563B">
                          <w:rPr>
                            <w:rFonts w:hint="eastAsia"/>
                            <w:spacing w:val="0"/>
                            <w:sz w:val="16"/>
                            <w:szCs w:val="16"/>
                          </w:rPr>
                          <w:t>-13</w:t>
                        </w:r>
                      </w:p>
                    </w:tc>
                  </w:tr>
                  <w:tr w:rsidR="00CC563B" w:rsidRPr="00CC563B" w14:paraId="1DC18C7B" w14:textId="77777777" w:rsidTr="00BE566E">
                    <w:trPr>
                      <w:trHeight w:val="254"/>
                    </w:trPr>
                    <w:tc>
                      <w:tcPr>
                        <w:tcW w:w="1524" w:type="dxa"/>
                        <w:shd w:val="clear" w:color="auto" w:fill="auto"/>
                        <w:tcMar>
                          <w:top w:w="15" w:type="dxa"/>
                          <w:left w:w="15" w:type="dxa"/>
                          <w:bottom w:w="0" w:type="dxa"/>
                          <w:right w:w="15" w:type="dxa"/>
                        </w:tcMar>
                        <w:vAlign w:val="center"/>
                      </w:tcPr>
                      <w:p w14:paraId="1BBA19E5" w14:textId="77777777" w:rsidR="00CC563B" w:rsidRPr="009E5A7C" w:rsidRDefault="00CC563B" w:rsidP="00CC563B">
                        <w:pPr>
                          <w:widowControl w:val="0"/>
                          <w:tabs>
                            <w:tab w:val="clear" w:pos="936"/>
                            <w:tab w:val="clear" w:pos="1560"/>
                            <w:tab w:val="clear" w:pos="2184"/>
                            <w:tab w:val="clear" w:pos="2808"/>
                          </w:tabs>
                          <w:overflowPunct/>
                          <w:topLinePunct/>
                          <w:adjustRightInd/>
                          <w:snapToGrid w:val="0"/>
                          <w:spacing w:after="0" w:line="240" w:lineRule="auto"/>
                          <w:ind w:leftChars="5" w:left="15"/>
                          <w:jc w:val="left"/>
                          <w:textAlignment w:val="auto"/>
                          <w:rPr>
                            <w:rFonts w:ascii="華康中黑體" w:eastAsia="華康中黑體" w:hAnsi="華康中黑體" w:cs="華康中黑體"/>
                            <w:bCs/>
                            <w:spacing w:val="0"/>
                            <w:kern w:val="2"/>
                            <w:sz w:val="19"/>
                            <w:szCs w:val="19"/>
                            <w:lang w:val="en-GB"/>
                          </w:rPr>
                        </w:pPr>
                        <w:r w:rsidRPr="009E5A7C">
                          <w:rPr>
                            <w:rFonts w:ascii="華康中黑體" w:eastAsia="華康中黑體" w:hAnsi="華康中黑體" w:cs="華康中黑體" w:hint="eastAsia"/>
                            <w:bCs/>
                            <w:spacing w:val="0"/>
                            <w:kern w:val="2"/>
                            <w:sz w:val="16"/>
                            <w:szCs w:val="16"/>
                            <w:lang w:val="en-GB"/>
                          </w:rPr>
                          <w:t>所有以上行業</w:t>
                        </w:r>
                      </w:p>
                    </w:tc>
                    <w:tc>
                      <w:tcPr>
                        <w:tcW w:w="664" w:type="dxa"/>
                        <w:shd w:val="clear" w:color="auto" w:fill="auto"/>
                        <w:tcMar>
                          <w:top w:w="15" w:type="dxa"/>
                          <w:left w:w="15" w:type="dxa"/>
                          <w:bottom w:w="0" w:type="dxa"/>
                          <w:right w:w="15" w:type="dxa"/>
                        </w:tcMar>
                        <w:vAlign w:val="center"/>
                      </w:tcPr>
                      <w:p w14:paraId="4D8022A8"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+1</w:t>
                        </w:r>
                      </w:p>
                    </w:tc>
                    <w:tc>
                      <w:tcPr>
                        <w:tcW w:w="401" w:type="dxa"/>
                        <w:shd w:val="clear" w:color="auto" w:fill="auto"/>
                        <w:tcMar>
                          <w:top w:w="15" w:type="dxa"/>
                          <w:left w:w="15" w:type="dxa"/>
                          <w:bottom w:w="0" w:type="dxa"/>
                          <w:right w:w="15" w:type="dxa"/>
                        </w:tcMar>
                        <w:vAlign w:val="center"/>
                      </w:tcPr>
                      <w:p w14:paraId="47BE774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-3</w:t>
                        </w:r>
                      </w:p>
                    </w:tc>
                    <w:tc>
                      <w:tcPr>
                        <w:tcW w:w="401" w:type="dxa"/>
                        <w:shd w:val="clear" w:color="auto" w:fill="auto"/>
                        <w:tcMar>
                          <w:top w:w="15" w:type="dxa"/>
                          <w:left w:w="15" w:type="dxa"/>
                          <w:bottom w:w="0" w:type="dxa"/>
                          <w:right w:w="15" w:type="dxa"/>
                        </w:tcMar>
                        <w:vAlign w:val="center"/>
                      </w:tcPr>
                      <w:p w14:paraId="70F29603"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-2</w:t>
                        </w:r>
                      </w:p>
                    </w:tc>
                    <w:tc>
                      <w:tcPr>
                        <w:tcW w:w="401" w:type="dxa"/>
                        <w:vAlign w:val="center"/>
                      </w:tcPr>
                      <w:p w14:paraId="2571EC4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-2</w:t>
                        </w:r>
                      </w:p>
                    </w:tc>
                    <w:tc>
                      <w:tcPr>
                        <w:tcW w:w="401" w:type="dxa"/>
                        <w:vAlign w:val="center"/>
                      </w:tcPr>
                      <w:p w14:paraId="1E820496"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lang w:eastAsia="zh-HK"/>
                          </w:rPr>
                          <w:t>-1</w:t>
                        </w:r>
                      </w:p>
                    </w:tc>
                    <w:tc>
                      <w:tcPr>
                        <w:tcW w:w="593" w:type="dxa"/>
                        <w:vAlign w:val="center"/>
                      </w:tcPr>
                      <w:p w14:paraId="7CF6A915" w14:textId="77777777" w:rsidR="00CC563B" w:rsidRPr="00CC563B" w:rsidRDefault="00CC563B" w:rsidP="00CC563B">
                        <w:pPr>
                          <w:widowControl w:val="0"/>
                          <w:tabs>
                            <w:tab w:val="clear" w:pos="936"/>
                            <w:tab w:val="clear" w:pos="1560"/>
                            <w:tab w:val="clear" w:pos="2184"/>
                            <w:tab w:val="clear" w:pos="2808"/>
                          </w:tabs>
                          <w:overflowPunct/>
                          <w:topLinePunct/>
                          <w:adjustRightInd/>
                          <w:spacing w:after="0" w:line="200" w:lineRule="exact"/>
                          <w:jc w:val="center"/>
                          <w:textAlignment w:val="auto"/>
                          <w:rPr>
                            <w:b/>
                            <w:bCs/>
                            <w:spacing w:val="0"/>
                            <w:sz w:val="16"/>
                            <w:szCs w:val="16"/>
                            <w:lang w:eastAsia="zh-HK"/>
                          </w:rPr>
                        </w:pPr>
                        <w:r w:rsidRPr="00CC563B">
                          <w:rPr>
                            <w:b/>
                            <w:bCs/>
                            <w:spacing w:val="0"/>
                            <w:sz w:val="16"/>
                            <w:szCs w:val="16"/>
                          </w:rPr>
                          <w:t>-4</w:t>
                        </w:r>
                      </w:p>
                    </w:tc>
                  </w:tr>
                </w:tbl>
                <w:p w14:paraId="25371C48" w14:textId="77777777" w:rsidR="00CC563B" w:rsidRPr="00CC563B" w:rsidRDefault="00CC563B" w:rsidP="00CC563B">
                  <w:pPr>
                    <w:widowControl w:val="0"/>
                    <w:tabs>
                      <w:tab w:val="clear" w:pos="936"/>
                      <w:tab w:val="clear" w:pos="1560"/>
                      <w:tab w:val="clear" w:pos="2184"/>
                      <w:tab w:val="clear" w:pos="2808"/>
                    </w:tabs>
                    <w:topLinePunct/>
                    <w:autoSpaceDE w:val="0"/>
                    <w:autoSpaceDN w:val="0"/>
                    <w:snapToGrid w:val="0"/>
                    <w:spacing w:after="0" w:line="200" w:lineRule="exact"/>
                    <w:ind w:leftChars="14" w:left="751" w:rightChars="14" w:right="42" w:hangingChars="443" w:hanging="709"/>
                    <w:rPr>
                      <w:rFonts w:eastAsia="新細明體"/>
                      <w:spacing w:val="0"/>
                      <w:kern w:val="2"/>
                      <w:sz w:val="16"/>
                      <w:szCs w:val="16"/>
                      <w:highlight w:val="red"/>
                      <w:lang w:val="en-GB"/>
                    </w:rPr>
                  </w:pPr>
                </w:p>
              </w:tc>
            </w:tr>
          </w:tbl>
          <w:p w14:paraId="3FCFA81D" w14:textId="77777777" w:rsidR="00CC563B" w:rsidRPr="00CC563B" w:rsidRDefault="00CC563B" w:rsidP="00CC563B">
            <w:pPr>
              <w:widowControl w:val="0"/>
              <w:tabs>
                <w:tab w:val="clear" w:pos="936"/>
                <w:tab w:val="clear" w:pos="1560"/>
                <w:tab w:val="clear" w:pos="2184"/>
                <w:tab w:val="clear" w:pos="2808"/>
              </w:tabs>
              <w:topLinePunct/>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CC563B" w:rsidRPr="00CC563B" w14:paraId="51350F16" w14:textId="77777777" w:rsidTr="00265E5C">
        <w:tc>
          <w:tcPr>
            <w:tcW w:w="959" w:type="dxa"/>
            <w:shd w:val="clear" w:color="auto" w:fill="auto"/>
          </w:tcPr>
          <w:p w14:paraId="3CAE7F82"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Lines="50" w:after="180" w:line="240" w:lineRule="auto"/>
              <w:jc w:val="center"/>
              <w:textAlignment w:val="auto"/>
              <w:rPr>
                <w:rFonts w:ascii="華康細明體" w:hAnsi="華康細明體"/>
                <w:bCs/>
                <w:spacing w:val="0"/>
                <w:kern w:val="2"/>
                <w:sz w:val="18"/>
                <w:szCs w:val="18"/>
                <w:lang w:val="en-GB"/>
              </w:rPr>
            </w:pPr>
            <w:r w:rsidRPr="00CC563B">
              <w:rPr>
                <w:rFonts w:ascii="華康細明體" w:hAnsi="華康細明體"/>
                <w:spacing w:val="0"/>
                <w:kern w:val="2"/>
                <w:sz w:val="16"/>
                <w:szCs w:val="16"/>
                <w:lang w:val="en-GB"/>
              </w:rPr>
              <w:t>註：</w:t>
            </w:r>
            <w:r w:rsidRPr="00CC563B">
              <w:rPr>
                <w:spacing w:val="0"/>
                <w:kern w:val="2"/>
                <w:sz w:val="16"/>
                <w:szCs w:val="16"/>
                <w:lang w:val="en-GB"/>
              </w:rPr>
              <w:t>(*)</w:t>
            </w:r>
          </w:p>
        </w:tc>
        <w:tc>
          <w:tcPr>
            <w:tcW w:w="3719" w:type="dxa"/>
            <w:shd w:val="clear" w:color="auto" w:fill="auto"/>
          </w:tcPr>
          <w:p w14:paraId="0D5E6D5B" w14:textId="77777777" w:rsidR="00CC563B" w:rsidRPr="00CC563B" w:rsidRDefault="00CC563B" w:rsidP="00CC563B">
            <w:pPr>
              <w:topLinePunct/>
              <w:snapToGrid w:val="0"/>
              <w:spacing w:afterLines="50" w:after="180" w:line="240" w:lineRule="auto"/>
              <w:rPr>
                <w:rFonts w:ascii="華康細明體" w:hAnsi="華康細明體"/>
                <w:spacing w:val="0"/>
                <w:kern w:val="2"/>
                <w:sz w:val="16"/>
                <w:szCs w:val="16"/>
                <w:lang w:val="en-GB"/>
              </w:rPr>
            </w:pPr>
            <w:r w:rsidRPr="00CC563B">
              <w:rPr>
                <w:rFonts w:ascii="華康細明體" w:hAnsi="華康細明體"/>
                <w:spacing w:val="0"/>
                <w:kern w:val="2"/>
                <w:sz w:val="16"/>
                <w:szCs w:val="16"/>
                <w:lang w:val="en-GB"/>
              </w:rPr>
              <w:t>淨差額顯示預期業務狀況與上季比較的變動方向，即機構單位填報「較佳」與「較差」的百分點差距。正數表示可能趨升，負數則指可能趨跌。</w:t>
            </w:r>
          </w:p>
        </w:tc>
        <w:tc>
          <w:tcPr>
            <w:tcW w:w="959" w:type="dxa"/>
            <w:shd w:val="clear" w:color="auto" w:fill="auto"/>
          </w:tcPr>
          <w:p w14:paraId="7A95E857" w14:textId="77777777" w:rsidR="00CC563B" w:rsidRPr="00CC563B" w:rsidRDefault="00CC563B" w:rsidP="00CC563B">
            <w:pPr>
              <w:widowControl w:val="0"/>
              <w:tabs>
                <w:tab w:val="clear" w:pos="936"/>
                <w:tab w:val="clear" w:pos="1560"/>
                <w:tab w:val="clear" w:pos="2184"/>
                <w:tab w:val="clear" w:pos="2808"/>
              </w:tabs>
              <w:overflowPunct/>
              <w:topLine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r w:rsidRPr="00CC563B">
              <w:rPr>
                <w:rFonts w:ascii="華康細明體" w:hAnsi="華康細明體"/>
                <w:spacing w:val="0"/>
                <w:kern w:val="2"/>
                <w:sz w:val="16"/>
                <w:szCs w:val="16"/>
                <w:lang w:val="en-GB"/>
              </w:rPr>
              <w:t>註：</w:t>
            </w:r>
            <w:r w:rsidRPr="00CC563B">
              <w:rPr>
                <w:spacing w:val="0"/>
                <w:kern w:val="2"/>
                <w:sz w:val="16"/>
                <w:szCs w:val="16"/>
                <w:lang w:val="en-GB"/>
              </w:rPr>
              <w:t>(*)</w:t>
            </w:r>
          </w:p>
        </w:tc>
        <w:tc>
          <w:tcPr>
            <w:tcW w:w="3827" w:type="dxa"/>
            <w:shd w:val="clear" w:color="auto" w:fill="auto"/>
          </w:tcPr>
          <w:p w14:paraId="63FF38DB" w14:textId="77777777" w:rsidR="00CC563B" w:rsidRPr="00CC563B" w:rsidRDefault="00CC563B" w:rsidP="00CC563B">
            <w:pPr>
              <w:topLinePunct/>
              <w:snapToGrid w:val="0"/>
              <w:spacing w:afterLines="50" w:after="180" w:line="240" w:lineRule="auto"/>
              <w:ind w:rightChars="48" w:right="144"/>
              <w:rPr>
                <w:rFonts w:ascii="華康細明體" w:hAnsi="華康細明體"/>
                <w:bCs/>
                <w:spacing w:val="0"/>
                <w:kern w:val="2"/>
                <w:sz w:val="18"/>
                <w:szCs w:val="18"/>
                <w:lang w:val="en-GB"/>
              </w:rPr>
            </w:pPr>
            <w:r w:rsidRPr="00CC563B">
              <w:rPr>
                <w:rFonts w:hint="eastAsia"/>
                <w:spacing w:val="0"/>
                <w:sz w:val="16"/>
                <w:szCs w:val="16"/>
              </w:rPr>
              <w:t>淨差額</w:t>
            </w:r>
            <w:r w:rsidRPr="00CC563B">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7B909D8C"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p>
    <w:p w14:paraId="75F90CE6"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CC563B">
        <w:rPr>
          <w:rFonts w:hint="eastAsia"/>
          <w:snapToGrid w:val="0"/>
          <w:spacing w:val="20"/>
          <w:sz w:val="22"/>
        </w:rPr>
        <w:t>中小型企業</w:t>
      </w:r>
      <w:r w:rsidRPr="00CC563B">
        <w:rPr>
          <w:rFonts w:hint="eastAsia"/>
          <w:snapToGrid w:val="0"/>
          <w:spacing w:val="20"/>
          <w:sz w:val="22"/>
        </w:rPr>
        <w:t>(</w:t>
      </w:r>
      <w:r w:rsidRPr="00CC563B">
        <w:rPr>
          <w:rFonts w:hint="eastAsia"/>
          <w:snapToGrid w:val="0"/>
          <w:spacing w:val="20"/>
          <w:sz w:val="22"/>
        </w:rPr>
        <w:t>中小企</w:t>
      </w:r>
      <w:r w:rsidRPr="00CC563B">
        <w:rPr>
          <w:rFonts w:hint="eastAsia"/>
          <w:snapToGrid w:val="0"/>
          <w:spacing w:val="20"/>
          <w:sz w:val="22"/>
        </w:rPr>
        <w:t>)</w:t>
      </w:r>
      <w:r w:rsidRPr="00CC563B">
        <w:rPr>
          <w:rFonts w:hint="eastAsia"/>
          <w:snapToGrid w:val="0"/>
          <w:spacing w:val="20"/>
          <w:sz w:val="22"/>
        </w:rPr>
        <w:t>方面，政府統計處按月編製一套動向指數</w:t>
      </w:r>
      <w:r w:rsidRPr="00CC563B">
        <w:rPr>
          <w:rFonts w:hint="eastAsia"/>
          <w:snapToGrid w:val="0"/>
          <w:spacing w:val="20"/>
          <w:sz w:val="22"/>
          <w:vertAlign w:val="superscript"/>
        </w:rPr>
        <w:t>(2)</w:t>
      </w:r>
      <w:r w:rsidRPr="00CC563B">
        <w:rPr>
          <w:rFonts w:hint="eastAsia"/>
          <w:snapToGrid w:val="0"/>
          <w:spacing w:val="20"/>
          <w:sz w:val="22"/>
        </w:rPr>
        <w:t>，以評估中小企對業務狀況的看法與上月比較的整體轉向。反映目前情況的綜合動向指數自二零二五年年中起大致維持上升趨勢，並在二零二五年十二月升至</w:t>
      </w:r>
      <w:r w:rsidRPr="00CC563B">
        <w:rPr>
          <w:rFonts w:hint="eastAsia"/>
          <w:snapToGrid w:val="0"/>
          <w:spacing w:val="20"/>
          <w:sz w:val="22"/>
        </w:rPr>
        <w:t>21</w:t>
      </w:r>
      <w:r w:rsidRPr="00CC563B">
        <w:rPr>
          <w:rFonts w:hint="eastAsia"/>
          <w:snapToGrid w:val="0"/>
          <w:spacing w:val="20"/>
          <w:sz w:val="22"/>
        </w:rPr>
        <w:t>個月高位，儘管在二零二六年一月稍為下跌</w:t>
      </w:r>
      <w:r w:rsidRPr="00CC563B">
        <w:rPr>
          <w:snapToGrid w:val="0"/>
          <w:spacing w:val="20"/>
          <w:sz w:val="22"/>
        </w:rPr>
        <w:t>(</w:t>
      </w:r>
      <w:r w:rsidRPr="00CC563B">
        <w:rPr>
          <w:rFonts w:ascii="華康中黑體" w:eastAsia="華康中黑體" w:hAnsi="華康中黑體" w:cs="華康中黑體" w:hint="eastAsia"/>
          <w:i/>
          <w:snapToGrid w:val="0"/>
          <w:spacing w:val="20"/>
          <w:sz w:val="22"/>
        </w:rPr>
        <w:t>圖</w:t>
      </w:r>
      <w:r w:rsidRPr="00CC563B">
        <w:rPr>
          <w:rFonts w:eastAsia="華康中黑體"/>
          <w:i/>
          <w:snapToGrid w:val="0"/>
          <w:spacing w:val="10"/>
          <w:sz w:val="22"/>
        </w:rPr>
        <w:t> </w:t>
      </w:r>
      <w:r w:rsidRPr="00CC563B">
        <w:rPr>
          <w:rFonts w:hint="eastAsia"/>
          <w:b/>
          <w:i/>
          <w:snapToGrid w:val="0"/>
          <w:spacing w:val="20"/>
          <w:sz w:val="22"/>
        </w:rPr>
        <w:t>2</w:t>
      </w:r>
      <w:r w:rsidRPr="00CC563B">
        <w:rPr>
          <w:b/>
          <w:i/>
          <w:snapToGrid w:val="0"/>
          <w:spacing w:val="20"/>
          <w:sz w:val="22"/>
        </w:rPr>
        <w:t>a</w:t>
      </w:r>
      <w:r w:rsidRPr="00CC563B">
        <w:rPr>
          <w:snapToGrid w:val="0"/>
          <w:spacing w:val="20"/>
          <w:sz w:val="22"/>
        </w:rPr>
        <w:t>)</w:t>
      </w:r>
      <w:r w:rsidRPr="00CC563B">
        <w:rPr>
          <w:rFonts w:hint="eastAsia"/>
          <w:snapToGrid w:val="0"/>
          <w:spacing w:val="20"/>
          <w:sz w:val="22"/>
        </w:rPr>
        <w:t>。中小企就業情緒</w:t>
      </w:r>
      <w:r w:rsidRPr="00CC563B">
        <w:rPr>
          <w:rFonts w:hint="eastAsia"/>
          <w:snapToGrid w:val="0"/>
          <w:spacing w:val="20"/>
          <w:sz w:val="22"/>
          <w:lang w:eastAsia="zh-HK"/>
        </w:rPr>
        <w:t>在最近六個月左右的情況與二零二五年較早時相比大致改善</w:t>
      </w:r>
      <w:r w:rsidRPr="00CC563B">
        <w:rPr>
          <w:rFonts w:hint="eastAsia"/>
          <w:snapToGrid w:val="0"/>
          <w:spacing w:val="20"/>
          <w:sz w:val="22"/>
        </w:rPr>
        <w:t>，信貸情況</w:t>
      </w:r>
      <w:r w:rsidRPr="00CC563B">
        <w:rPr>
          <w:rFonts w:hint="eastAsia"/>
          <w:snapToGrid w:val="0"/>
          <w:spacing w:val="20"/>
          <w:sz w:val="22"/>
          <w:lang w:eastAsia="zh-HK"/>
        </w:rPr>
        <w:t>亦</w:t>
      </w:r>
      <w:r w:rsidRPr="00CC563B">
        <w:rPr>
          <w:rFonts w:hint="eastAsia"/>
          <w:snapToGrid w:val="0"/>
          <w:spacing w:val="20"/>
          <w:sz w:val="22"/>
        </w:rPr>
        <w:t>維持寬鬆。與此同時，渣打香港中小企領先營商指數</w:t>
      </w:r>
      <w:r w:rsidRPr="00CC563B">
        <w:rPr>
          <w:rFonts w:hint="eastAsia"/>
          <w:snapToGrid w:val="0"/>
          <w:spacing w:val="20"/>
          <w:sz w:val="22"/>
          <w:vertAlign w:val="superscript"/>
        </w:rPr>
        <w:t>(3)</w:t>
      </w:r>
      <w:r w:rsidRPr="00CC563B">
        <w:rPr>
          <w:rFonts w:hint="eastAsia"/>
          <w:snapToGrid w:val="0"/>
          <w:spacing w:val="20"/>
          <w:sz w:val="22"/>
        </w:rPr>
        <w:t>在二零二五年第四季升至全年</w:t>
      </w:r>
      <w:r w:rsidRPr="00CC563B">
        <w:rPr>
          <w:rFonts w:hint="eastAsia"/>
          <w:snapToGrid w:val="0"/>
          <w:spacing w:val="20"/>
          <w:sz w:val="22"/>
          <w:lang w:eastAsia="zh-HK"/>
        </w:rPr>
        <w:t>高位</w:t>
      </w:r>
      <w:r w:rsidRPr="00CC563B">
        <w:rPr>
          <w:rFonts w:hint="eastAsia"/>
          <w:snapToGrid w:val="0"/>
          <w:spacing w:val="20"/>
          <w:sz w:val="22"/>
        </w:rPr>
        <w:t>後，在二零二六年第一季稍為回落，但仍高於二零二五年首三季的水平。</w:t>
      </w:r>
    </w:p>
    <w:p w14:paraId="6E70DC4C" w14:textId="77777777" w:rsidR="00CC563B" w:rsidRPr="00CC563B" w:rsidRDefault="00CC563B" w:rsidP="00CC563B">
      <w:pPr>
        <w:tabs>
          <w:tab w:val="clear" w:pos="936"/>
          <w:tab w:val="clear" w:pos="1560"/>
          <w:tab w:val="clear" w:pos="2184"/>
          <w:tab w:val="clear" w:pos="2808"/>
          <w:tab w:val="left" w:pos="630"/>
        </w:tabs>
        <w:snapToGrid w:val="0"/>
        <w:spacing w:after="240" w:line="240" w:lineRule="atLeast"/>
        <w:ind w:left="113" w:right="113"/>
        <w:rPr>
          <w:snapToGrid w:val="0"/>
          <w:spacing w:val="20"/>
          <w:sz w:val="22"/>
          <w:lang w:val="en-GB" w:eastAsia="zh-HK"/>
        </w:rPr>
      </w:pPr>
      <w:r w:rsidRPr="00CC563B">
        <w:rPr>
          <w:rFonts w:hint="eastAsia"/>
          <w:snapToGrid w:val="0"/>
          <w:spacing w:val="22"/>
          <w:sz w:val="22"/>
          <w:lang w:val="en-GB"/>
        </w:rPr>
        <w:t>至於坊間其他調查，用以評估私營機構業務表現的標普全球香港採購經理指數</w:t>
      </w:r>
      <w:r w:rsidRPr="00CC563B">
        <w:rPr>
          <w:snapToGrid w:val="0"/>
          <w:spacing w:val="22"/>
          <w:sz w:val="22"/>
          <w:vertAlign w:val="superscript"/>
          <w:lang w:val="en-GB"/>
        </w:rPr>
        <w:t>(</w:t>
      </w:r>
      <w:r w:rsidRPr="00CC563B">
        <w:rPr>
          <w:rFonts w:hint="eastAsia"/>
          <w:snapToGrid w:val="0"/>
          <w:spacing w:val="22"/>
          <w:sz w:val="22"/>
          <w:vertAlign w:val="superscript"/>
          <w:lang w:val="en-GB"/>
        </w:rPr>
        <w:t>4</w:t>
      </w:r>
      <w:r w:rsidRPr="00CC563B">
        <w:rPr>
          <w:snapToGrid w:val="0"/>
          <w:spacing w:val="22"/>
          <w:sz w:val="22"/>
          <w:vertAlign w:val="superscript"/>
          <w:lang w:val="en-GB"/>
        </w:rPr>
        <w:t>)</w:t>
      </w:r>
      <w:r w:rsidRPr="00CC563B">
        <w:rPr>
          <w:rFonts w:hint="eastAsia"/>
          <w:snapToGrid w:val="0"/>
          <w:spacing w:val="20"/>
          <w:sz w:val="22"/>
          <w:lang w:val="en-GB" w:eastAsia="zh-HK"/>
        </w:rPr>
        <w:t>連</w:t>
      </w:r>
      <w:r w:rsidRPr="00CC563B">
        <w:rPr>
          <w:rFonts w:hint="eastAsia"/>
          <w:snapToGrid w:val="0"/>
          <w:spacing w:val="20"/>
          <w:sz w:val="22"/>
          <w:lang w:val="en-GB"/>
        </w:rPr>
        <w:t>續</w:t>
      </w:r>
      <w:r w:rsidRPr="00CC563B">
        <w:rPr>
          <w:rFonts w:hint="eastAsia"/>
          <w:snapToGrid w:val="0"/>
          <w:spacing w:val="20"/>
          <w:sz w:val="22"/>
          <w:lang w:val="en-GB" w:eastAsia="zh-HK"/>
        </w:rPr>
        <w:t>六個月高於強弱分界線，並在二零二六年一月上升至</w:t>
      </w:r>
      <w:r w:rsidRPr="00CC563B">
        <w:rPr>
          <w:snapToGrid w:val="0"/>
          <w:spacing w:val="20"/>
          <w:sz w:val="22"/>
          <w:lang w:val="en-GB" w:eastAsia="zh-HK"/>
        </w:rPr>
        <w:t>52.3</w:t>
      </w:r>
      <w:r w:rsidRPr="00CC563B">
        <w:rPr>
          <w:snapToGrid w:val="0"/>
          <w:spacing w:val="20"/>
          <w:sz w:val="22"/>
        </w:rPr>
        <w:t>(</w:t>
      </w:r>
      <w:r w:rsidRPr="00CC563B">
        <w:rPr>
          <w:rFonts w:ascii="華康中黑體" w:eastAsia="華康中黑體" w:hAnsi="華康中黑體" w:cs="華康中黑體" w:hint="eastAsia"/>
          <w:i/>
          <w:snapToGrid w:val="0"/>
          <w:spacing w:val="20"/>
          <w:sz w:val="22"/>
        </w:rPr>
        <w:t>圖</w:t>
      </w:r>
      <w:r w:rsidRPr="00CC563B">
        <w:rPr>
          <w:rFonts w:eastAsia="華康中黑體"/>
          <w:i/>
          <w:snapToGrid w:val="0"/>
          <w:spacing w:val="10"/>
          <w:sz w:val="22"/>
        </w:rPr>
        <w:t> </w:t>
      </w:r>
      <w:r w:rsidRPr="00CC563B">
        <w:rPr>
          <w:rFonts w:hint="eastAsia"/>
          <w:b/>
          <w:i/>
          <w:snapToGrid w:val="0"/>
          <w:spacing w:val="20"/>
          <w:sz w:val="22"/>
        </w:rPr>
        <w:t>2</w:t>
      </w:r>
      <w:r w:rsidRPr="00CC563B">
        <w:rPr>
          <w:b/>
          <w:i/>
          <w:snapToGrid w:val="0"/>
          <w:spacing w:val="20"/>
          <w:sz w:val="22"/>
        </w:rPr>
        <w:t>b</w:t>
      </w:r>
      <w:r w:rsidRPr="00CC563B">
        <w:rPr>
          <w:snapToGrid w:val="0"/>
          <w:spacing w:val="20"/>
          <w:sz w:val="22"/>
        </w:rPr>
        <w:t>)</w:t>
      </w:r>
      <w:r w:rsidRPr="00CC563B">
        <w:rPr>
          <w:rFonts w:hint="eastAsia"/>
          <w:snapToGrid w:val="0"/>
          <w:spacing w:val="20"/>
          <w:sz w:val="22"/>
          <w:lang w:val="en-GB" w:eastAsia="zh-HK"/>
        </w:rPr>
        <w:t>。根</w:t>
      </w:r>
      <w:r w:rsidRPr="00CC563B">
        <w:rPr>
          <w:rFonts w:hint="eastAsia"/>
          <w:snapToGrid w:val="0"/>
          <w:spacing w:val="20"/>
          <w:sz w:val="22"/>
          <w:lang w:val="en-GB"/>
        </w:rPr>
        <w:t>據</w:t>
      </w:r>
      <w:r w:rsidRPr="00CC563B">
        <w:rPr>
          <w:rFonts w:hint="eastAsia"/>
          <w:snapToGrid w:val="0"/>
          <w:spacing w:val="20"/>
          <w:sz w:val="22"/>
          <w:lang w:val="en-GB" w:eastAsia="zh-HK"/>
        </w:rPr>
        <w:t>早前在二零二五年十月十七日至十一月七日期間收</w:t>
      </w:r>
      <w:r w:rsidRPr="00CC563B">
        <w:rPr>
          <w:rFonts w:hint="eastAsia"/>
          <w:snapToGrid w:val="0"/>
          <w:spacing w:val="20"/>
          <w:sz w:val="22"/>
          <w:lang w:val="en-GB"/>
        </w:rPr>
        <w:t>集</w:t>
      </w:r>
      <w:r w:rsidRPr="00CC563B">
        <w:rPr>
          <w:rFonts w:hint="eastAsia"/>
          <w:snapToGrid w:val="0"/>
          <w:spacing w:val="20"/>
          <w:sz w:val="22"/>
          <w:lang w:val="en-GB" w:eastAsia="zh-HK"/>
        </w:rPr>
        <w:t>的資料編製而成的</w:t>
      </w:r>
      <w:r w:rsidRPr="00CC563B">
        <w:rPr>
          <w:rFonts w:hint="eastAsia"/>
          <w:snapToGrid w:val="0"/>
          <w:spacing w:val="20"/>
          <w:sz w:val="22"/>
          <w:lang w:val="en-GB"/>
        </w:rPr>
        <w:t>香港貿易發展局</w:t>
      </w:r>
      <w:r w:rsidRPr="00CC563B">
        <w:rPr>
          <w:rFonts w:hint="eastAsia"/>
          <w:snapToGrid w:val="0"/>
          <w:spacing w:val="20"/>
          <w:sz w:val="22"/>
          <w:lang w:val="en-GB"/>
        </w:rPr>
        <w:t>(</w:t>
      </w:r>
      <w:r w:rsidRPr="00CC563B">
        <w:rPr>
          <w:rFonts w:hint="eastAsia"/>
          <w:snapToGrid w:val="0"/>
          <w:spacing w:val="20"/>
          <w:sz w:val="22"/>
          <w:lang w:val="en-GB" w:eastAsia="zh-HK"/>
        </w:rPr>
        <w:t>香港</w:t>
      </w:r>
      <w:r w:rsidRPr="00CC563B">
        <w:rPr>
          <w:rFonts w:hint="eastAsia"/>
          <w:snapToGrid w:val="0"/>
          <w:spacing w:val="20"/>
          <w:sz w:val="22"/>
          <w:lang w:val="en-GB"/>
        </w:rPr>
        <w:t>貿發局</w:t>
      </w:r>
      <w:r w:rsidRPr="00CC563B">
        <w:rPr>
          <w:rFonts w:hint="eastAsia"/>
          <w:snapToGrid w:val="0"/>
          <w:spacing w:val="20"/>
          <w:sz w:val="22"/>
          <w:lang w:val="en-GB"/>
        </w:rPr>
        <w:t>)</w:t>
      </w:r>
      <w:r w:rsidRPr="00CC563B">
        <w:rPr>
          <w:rFonts w:hint="eastAsia"/>
          <w:snapToGrid w:val="0"/>
          <w:spacing w:val="20"/>
          <w:sz w:val="22"/>
          <w:lang w:val="en-GB"/>
        </w:rPr>
        <w:t>出口</w:t>
      </w:r>
      <w:r w:rsidRPr="00CC563B">
        <w:rPr>
          <w:rFonts w:hint="eastAsia"/>
          <w:snapToGrid w:val="0"/>
          <w:spacing w:val="20"/>
          <w:sz w:val="22"/>
          <w:lang w:val="en-GB" w:eastAsia="zh-HK"/>
        </w:rPr>
        <w:t>信</w:t>
      </w:r>
      <w:r w:rsidRPr="00CC563B">
        <w:rPr>
          <w:rFonts w:hint="eastAsia"/>
          <w:snapToGrid w:val="0"/>
          <w:spacing w:val="20"/>
          <w:sz w:val="22"/>
          <w:lang w:val="en-GB"/>
        </w:rPr>
        <w:t>心指數</w:t>
      </w:r>
      <w:r w:rsidRPr="00CC563B">
        <w:rPr>
          <w:snapToGrid w:val="0"/>
          <w:spacing w:val="20"/>
          <w:sz w:val="22"/>
          <w:vertAlign w:val="superscript"/>
          <w:lang w:val="en-GB"/>
        </w:rPr>
        <w:t>(5)</w:t>
      </w:r>
      <w:r w:rsidRPr="00CC563B">
        <w:rPr>
          <w:rFonts w:hint="eastAsia"/>
          <w:snapToGrid w:val="0"/>
          <w:spacing w:val="20"/>
          <w:sz w:val="22"/>
          <w:lang w:val="en-GB" w:eastAsia="zh-HK"/>
        </w:rPr>
        <w:t>顯示，預期繼續有正面增</w:t>
      </w:r>
      <w:r w:rsidRPr="00CC563B">
        <w:rPr>
          <w:rFonts w:hint="eastAsia"/>
          <w:snapToGrid w:val="0"/>
          <w:spacing w:val="20"/>
          <w:sz w:val="22"/>
          <w:lang w:val="en-GB"/>
        </w:rPr>
        <w:t>長</w:t>
      </w:r>
      <w:r w:rsidRPr="00CC563B">
        <w:rPr>
          <w:rFonts w:hint="eastAsia"/>
          <w:snapToGrid w:val="0"/>
          <w:spacing w:val="20"/>
          <w:sz w:val="22"/>
          <w:lang w:val="en-GB" w:eastAsia="zh-HK"/>
        </w:rPr>
        <w:t>前景。</w:t>
      </w:r>
    </w:p>
    <w:p w14:paraId="7AC03C7A" w14:textId="77777777" w:rsidR="00CC563B" w:rsidRPr="00CC563B" w:rsidRDefault="00CC563B" w:rsidP="00CC563B">
      <w:pPr>
        <w:tabs>
          <w:tab w:val="clear" w:pos="936"/>
          <w:tab w:val="clear" w:pos="1560"/>
          <w:tab w:val="clear" w:pos="2184"/>
          <w:tab w:val="clear" w:pos="2808"/>
          <w:tab w:val="left" w:pos="630"/>
        </w:tabs>
        <w:snapToGrid w:val="0"/>
        <w:spacing w:after="240" w:line="240" w:lineRule="atLeast"/>
        <w:ind w:right="113"/>
        <w:rPr>
          <w:snapToGrid w:val="0"/>
          <w:spacing w:val="20"/>
          <w:sz w:val="22"/>
          <w:lang w:val="en-GB"/>
        </w:rPr>
      </w:pPr>
    </w:p>
    <w:p w14:paraId="3BDD11AD" w14:textId="77777777" w:rsidR="00CC563B" w:rsidRPr="00CC563B" w:rsidRDefault="00CC563B" w:rsidP="00CC563B">
      <w:pPr>
        <w:tabs>
          <w:tab w:val="clear" w:pos="936"/>
          <w:tab w:val="clear" w:pos="1560"/>
          <w:tab w:val="clear" w:pos="2184"/>
          <w:tab w:val="clear" w:pos="2808"/>
          <w:tab w:val="left" w:pos="630"/>
        </w:tabs>
        <w:topLinePunct/>
        <w:snapToGrid w:val="0"/>
        <w:spacing w:after="120" w:line="240" w:lineRule="atLeast"/>
        <w:ind w:right="113"/>
        <w:rPr>
          <w:snapToGrid w:val="0"/>
          <w:spacing w:val="20"/>
          <w:sz w:val="22"/>
          <w:lang w:val="en-GB"/>
        </w:rPr>
      </w:pPr>
    </w:p>
    <w:p w14:paraId="2AFBEF58" w14:textId="77777777" w:rsidR="00CC563B" w:rsidRPr="00CC563B" w:rsidRDefault="00CC563B" w:rsidP="00CC563B">
      <w:pPr>
        <w:tabs>
          <w:tab w:val="clear" w:pos="936"/>
          <w:tab w:val="clear" w:pos="1560"/>
          <w:tab w:val="clear" w:pos="2184"/>
          <w:tab w:val="clear" w:pos="2808"/>
          <w:tab w:val="left" w:pos="630"/>
        </w:tabs>
        <w:topLinePunct/>
        <w:snapToGrid w:val="0"/>
        <w:spacing w:after="120" w:line="240" w:lineRule="atLeast"/>
        <w:ind w:left="113" w:right="113"/>
        <w:rPr>
          <w:snapToGrid w:val="0"/>
          <w:spacing w:val="20"/>
          <w:sz w:val="22"/>
          <w:lang w:val="en-GB"/>
        </w:rPr>
      </w:pPr>
    </w:p>
    <w:p w14:paraId="1E19C01D" w14:textId="77777777" w:rsidR="00CC563B" w:rsidRPr="00CC563B" w:rsidRDefault="00CC563B" w:rsidP="00CC563B">
      <w:pPr>
        <w:tabs>
          <w:tab w:val="clear" w:pos="936"/>
          <w:tab w:val="clear" w:pos="1560"/>
          <w:tab w:val="clear" w:pos="2184"/>
          <w:tab w:val="clear" w:pos="2808"/>
          <w:tab w:val="left" w:pos="630"/>
        </w:tabs>
        <w:topLinePunct/>
        <w:snapToGrid w:val="0"/>
        <w:spacing w:after="120" w:line="240" w:lineRule="atLeast"/>
        <w:ind w:left="113" w:right="113"/>
        <w:rPr>
          <w:snapToGrid w:val="0"/>
          <w:spacing w:val="20"/>
          <w:sz w:val="22"/>
          <w:lang w:val="en-GB"/>
        </w:rPr>
      </w:pPr>
    </w:p>
    <w:p w14:paraId="5CEBD467" w14:textId="77777777" w:rsidR="00CC563B" w:rsidRPr="00CC563B" w:rsidRDefault="00CC563B" w:rsidP="00CC563B">
      <w:pPr>
        <w:tabs>
          <w:tab w:val="clear" w:pos="936"/>
          <w:tab w:val="clear" w:pos="1560"/>
          <w:tab w:val="clear" w:pos="2184"/>
          <w:tab w:val="clear" w:pos="2808"/>
          <w:tab w:val="left" w:pos="630"/>
        </w:tabs>
        <w:topLinePunct/>
        <w:snapToGrid w:val="0"/>
        <w:spacing w:after="120" w:line="240" w:lineRule="atLeast"/>
        <w:ind w:left="113" w:right="113"/>
        <w:rPr>
          <w:snapToGrid w:val="0"/>
          <w:spacing w:val="20"/>
          <w:sz w:val="22"/>
          <w:lang w:val="en-GB"/>
        </w:rPr>
      </w:pPr>
    </w:p>
    <w:p w14:paraId="5E405247" w14:textId="77777777" w:rsidR="00CC563B" w:rsidRPr="00CC563B" w:rsidRDefault="00CC563B" w:rsidP="00CC563B">
      <w:pPr>
        <w:tabs>
          <w:tab w:val="clear" w:pos="936"/>
          <w:tab w:val="clear" w:pos="1560"/>
          <w:tab w:val="clear" w:pos="2184"/>
          <w:tab w:val="clear" w:pos="2808"/>
          <w:tab w:val="left" w:pos="630"/>
        </w:tabs>
        <w:topLinePunct/>
        <w:snapToGrid w:val="0"/>
        <w:spacing w:after="120" w:line="240" w:lineRule="atLeast"/>
        <w:ind w:left="113" w:right="113"/>
        <w:rPr>
          <w:snapToGrid w:val="0"/>
          <w:spacing w:val="20"/>
          <w:sz w:val="22"/>
        </w:rPr>
      </w:pPr>
      <w:r w:rsidRPr="00CC563B">
        <w:rPr>
          <w:noProof/>
          <w:snapToGrid w:val="0"/>
          <w:spacing w:val="20"/>
          <w:sz w:val="22"/>
        </w:rPr>
        <mc:AlternateContent>
          <mc:Choice Requires="wps">
            <w:drawing>
              <wp:anchor distT="4294967293" distB="4294967293" distL="114300" distR="114300" simplePos="0" relativeHeight="251662336" behindDoc="0" locked="0" layoutInCell="1" allowOverlap="1" wp14:anchorId="039B78EA" wp14:editId="7E7A4F98">
                <wp:simplePos x="0" y="0"/>
                <wp:positionH relativeFrom="column">
                  <wp:posOffset>2072640</wp:posOffset>
                </wp:positionH>
                <wp:positionV relativeFrom="paragraph">
                  <wp:posOffset>29210</wp:posOffset>
                </wp:positionV>
                <wp:extent cx="1494790" cy="0"/>
                <wp:effectExtent l="0" t="0" r="29210" b="19050"/>
                <wp:wrapNone/>
                <wp:docPr id="5"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DD365F" id="直線接點 5"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"/>
            </w:pict>
          </mc:Fallback>
        </mc:AlternateContent>
      </w:r>
    </w:p>
    <w:p w14:paraId="64A145FB" w14:textId="77777777" w:rsidR="00CC563B" w:rsidRPr="00CC563B" w:rsidRDefault="00CC563B" w:rsidP="00CC563B">
      <w:pPr>
        <w:tabs>
          <w:tab w:val="clear" w:pos="936"/>
          <w:tab w:val="clear" w:pos="1560"/>
          <w:tab w:val="clear" w:pos="2184"/>
          <w:tab w:val="clear" w:pos="2808"/>
          <w:tab w:val="left" w:pos="2495"/>
        </w:tabs>
        <w:snapToGrid w:val="0"/>
        <w:spacing w:after="120" w:line="200" w:lineRule="atLeast"/>
        <w:ind w:left="680" w:right="113" w:hanging="567"/>
        <w:rPr>
          <w:spacing w:val="20"/>
          <w:kern w:val="2"/>
          <w:sz w:val="18"/>
          <w:lang w:val="en-HK"/>
        </w:rPr>
      </w:pPr>
      <w:r w:rsidRPr="00CC563B">
        <w:rPr>
          <w:spacing w:val="20"/>
          <w:kern w:val="2"/>
          <w:sz w:val="18"/>
        </w:rPr>
        <w:t>(2)</w:t>
      </w:r>
      <w:r w:rsidRPr="00CC563B">
        <w:rPr>
          <w:spacing w:val="20"/>
          <w:kern w:val="2"/>
          <w:sz w:val="18"/>
        </w:rPr>
        <w:tab/>
      </w:r>
      <w:r w:rsidRPr="00CC563B">
        <w:rPr>
          <w:rFonts w:hint="eastAsia"/>
          <w:spacing w:val="20"/>
          <w:kern w:val="2"/>
          <w:sz w:val="18"/>
        </w:rPr>
        <w:t>指中小型企業業務狀況按月統計調查的結果，該調查每月從約</w:t>
      </w:r>
      <w:r w:rsidRPr="00CC563B">
        <w:rPr>
          <w:spacing w:val="20"/>
          <w:kern w:val="2"/>
          <w:sz w:val="18"/>
        </w:rPr>
        <w:t> 600 </w:t>
      </w:r>
      <w:r w:rsidRPr="00CC563B">
        <w:rPr>
          <w:rFonts w:hint="eastAsia"/>
          <w:spacing w:val="20"/>
          <w:kern w:val="2"/>
          <w:sz w:val="18"/>
        </w:rPr>
        <w:t>家中小企的固定樣本徵求回應。</w:t>
      </w:r>
    </w:p>
    <w:p w14:paraId="1A06A65F" w14:textId="77777777" w:rsidR="00CC563B" w:rsidRPr="00CC563B" w:rsidRDefault="00CC563B" w:rsidP="00CC563B">
      <w:pPr>
        <w:tabs>
          <w:tab w:val="clear" w:pos="936"/>
          <w:tab w:val="clear" w:pos="1560"/>
          <w:tab w:val="clear" w:pos="2184"/>
          <w:tab w:val="clear" w:pos="2808"/>
          <w:tab w:val="left" w:pos="2495"/>
        </w:tabs>
        <w:snapToGrid w:val="0"/>
        <w:spacing w:after="120" w:line="200" w:lineRule="atLeast"/>
        <w:ind w:left="680" w:right="113" w:hanging="567"/>
        <w:rPr>
          <w:snapToGrid w:val="0"/>
          <w:spacing w:val="22"/>
          <w:sz w:val="22"/>
          <w:lang w:val="en-GB"/>
        </w:rPr>
      </w:pPr>
      <w:r w:rsidRPr="00CC563B">
        <w:rPr>
          <w:spacing w:val="20"/>
          <w:kern w:val="2"/>
          <w:sz w:val="18"/>
        </w:rPr>
        <w:t>(3)</w:t>
      </w:r>
      <w:r w:rsidRPr="00CC563B">
        <w:rPr>
          <w:spacing w:val="20"/>
          <w:kern w:val="2"/>
          <w:sz w:val="18"/>
        </w:rPr>
        <w:tab/>
      </w:r>
      <w:r w:rsidRPr="00CC563B">
        <w:rPr>
          <w:rFonts w:hint="eastAsia"/>
          <w:spacing w:val="20"/>
          <w:kern w:val="2"/>
          <w:sz w:val="18"/>
        </w:rPr>
        <w:t>該季度統計調查由香港生產力促進局獨立進行，旨在讓公眾和中小企了解來季的營商氣候，以便規劃未來。綜合營商指數涵蓋五個範疇，分別是本港中小企對下季「招聘意向」、「投資意向」、「營業狀況」、「盈利表現」和「環球經濟」的展望。</w:t>
      </w:r>
    </w:p>
    <w:p w14:paraId="0C294B7A" w14:textId="77777777" w:rsidR="00CC563B" w:rsidRPr="00CC563B" w:rsidRDefault="00CC563B" w:rsidP="00CC563B">
      <w:pPr>
        <w:pageBreakBefore/>
        <w:tabs>
          <w:tab w:val="clear" w:pos="936"/>
          <w:tab w:val="clear" w:pos="1560"/>
          <w:tab w:val="clear" w:pos="2184"/>
          <w:tab w:val="clear" w:pos="2808"/>
        </w:tabs>
        <w:overflowPunct/>
        <w:adjustRightInd/>
        <w:spacing w:after="240" w:line="240" w:lineRule="auto"/>
        <w:ind w:leftChars="20" w:left="60" w:rightChars="20" w:right="60"/>
        <w:jc w:val="left"/>
        <w:textAlignment w:val="auto"/>
        <w:rPr>
          <w:rFonts w:eastAsia="華康中黑體"/>
          <w:b/>
          <w:noProof/>
          <w:spacing w:val="20"/>
          <w:u w:color="0000FF"/>
        </w:rPr>
      </w:pPr>
      <w:r w:rsidRPr="00CC563B">
        <w:rPr>
          <w:rFonts w:eastAsia="華康中黑體"/>
          <w:noProof/>
          <w:spacing w:val="20"/>
          <w:u w:color="0000FF"/>
        </w:rPr>
        <w:lastRenderedPageBreak/>
        <mc:AlternateContent>
          <mc:Choice Requires="wps">
            <w:drawing>
              <wp:anchor distT="0" distB="0" distL="114300" distR="114300" simplePos="0" relativeHeight="251663360" behindDoc="1" locked="0" layoutInCell="1" allowOverlap="1" wp14:anchorId="354C68F7" wp14:editId="4F639130">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35D550" id="Rectangle 6" o:spid="_x0000_s1026" style="position:absolute;margin-left:-17.1pt;margin-top:-9.25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"/>
            </w:pict>
          </mc:Fallback>
        </mc:AlternateContent>
      </w:r>
      <w:r w:rsidRPr="00CC563B">
        <w:rPr>
          <w:rFonts w:eastAsia="華康中黑體"/>
          <w:noProof/>
          <w:spacing w:val="20"/>
          <w:u w:color="0000FF"/>
        </w:rPr>
        <w:t>專題</w:t>
      </w:r>
      <w:r w:rsidRPr="00CC563B">
        <w:rPr>
          <w:rFonts w:eastAsia="華康中黑體" w:hint="eastAsia"/>
          <w:b/>
          <w:noProof/>
          <w:spacing w:val="20"/>
          <w:u w:color="0000FF"/>
        </w:rPr>
        <w:t>1.</w:t>
      </w:r>
      <w:r w:rsidRPr="00CC563B">
        <w:rPr>
          <w:rFonts w:eastAsia="華康中黑體"/>
          <w:b/>
          <w:noProof/>
          <w:spacing w:val="20"/>
          <w:u w:color="0000FF"/>
        </w:rPr>
        <w:t>1</w:t>
      </w:r>
      <w:r w:rsidRPr="00CC563B">
        <w:rPr>
          <w:rFonts w:eastAsia="華康中黑體" w:hint="eastAsia"/>
          <w:b/>
          <w:noProof/>
          <w:spacing w:val="20"/>
          <w:u w:color="0000FF"/>
        </w:rPr>
        <w:t xml:space="preserve"> (</w:t>
      </w:r>
      <w:r w:rsidRPr="00CC563B">
        <w:rPr>
          <w:rFonts w:eastAsia="華康中黑體" w:hint="eastAsia"/>
          <w:noProof/>
          <w:spacing w:val="20"/>
          <w:u w:color="0000FF"/>
        </w:rPr>
        <w:t>續</w:t>
      </w:r>
      <w:r w:rsidRPr="00CC563B">
        <w:rPr>
          <w:rFonts w:eastAsia="華康中黑體" w:hint="eastAsia"/>
          <w:b/>
          <w:noProof/>
          <w:spacing w:val="20"/>
          <w:u w:color="0000FF"/>
        </w:rPr>
        <w:t>)</w:t>
      </w:r>
    </w:p>
    <w:tbl>
      <w:tblPr>
        <w:tblStyle w:val="af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416A57" w:rsidRPr="00CC563B" w14:paraId="66ED1D1F" w14:textId="77777777" w:rsidTr="00265E5C">
        <w:trPr>
          <w:jc w:val="center"/>
        </w:trPr>
        <w:tc>
          <w:tcPr>
            <w:tcW w:w="9071" w:type="dxa"/>
          </w:tcPr>
          <w:p w14:paraId="27414D4E" w14:textId="61145360" w:rsidR="00CC563B" w:rsidRPr="00CC563B" w:rsidRDefault="00CC563B" w:rsidP="00CC563B">
            <w:pPr>
              <w:keepNext/>
              <w:tabs>
                <w:tab w:val="clear" w:pos="936"/>
                <w:tab w:val="clear" w:pos="1560"/>
                <w:tab w:val="clear" w:pos="2184"/>
              </w:tabs>
              <w:topLinePunct/>
              <w:spacing w:before="120" w:after="0" w:line="240" w:lineRule="atLeast"/>
              <w:ind w:left="737" w:right="113" w:hanging="624"/>
              <w:jc w:val="center"/>
              <w:rPr>
                <w:rFonts w:eastAsia="華康中黑體"/>
                <w:snapToGrid w:val="0"/>
                <w:spacing w:val="20"/>
                <w:sz w:val="22"/>
              </w:rPr>
            </w:pPr>
            <w:r w:rsidRPr="00CC563B">
              <w:rPr>
                <w:rFonts w:eastAsia="華康中黑體" w:hint="eastAsia"/>
                <w:snapToGrid w:val="0"/>
                <w:spacing w:val="20"/>
                <w:sz w:val="22"/>
              </w:rPr>
              <w:t>圖</w:t>
            </w:r>
            <w:r w:rsidRPr="00CC563B">
              <w:rPr>
                <w:rFonts w:eastAsia="華康中黑體" w:hint="eastAsia"/>
                <w:b/>
                <w:snapToGrid w:val="0"/>
                <w:spacing w:val="20"/>
                <w:sz w:val="22"/>
              </w:rPr>
              <w:t>2</w:t>
            </w:r>
            <w:r w:rsidRPr="00CC563B">
              <w:rPr>
                <w:rFonts w:eastAsia="華康中黑體" w:hint="eastAsia"/>
                <w:b/>
                <w:snapToGrid w:val="0"/>
                <w:spacing w:val="20"/>
                <w:sz w:val="22"/>
              </w:rPr>
              <w:t>：</w:t>
            </w:r>
            <w:r w:rsidRPr="00CC563B">
              <w:rPr>
                <w:rFonts w:eastAsia="華康中黑體" w:hint="eastAsia"/>
                <w:snapToGrid w:val="0"/>
                <w:spacing w:val="22"/>
                <w:sz w:val="22"/>
              </w:rPr>
              <w:t>其他營商氣氛指數</w:t>
            </w:r>
            <w:r w:rsidRPr="00CC563B">
              <w:rPr>
                <w:rFonts w:eastAsia="華康中黑體" w:hint="eastAsia"/>
                <w:snapToGrid w:val="0"/>
                <w:spacing w:val="22"/>
                <w:sz w:val="22"/>
                <w:lang w:eastAsia="zh-HK"/>
              </w:rPr>
              <w:t>自二零二五年下半年起普</w:t>
            </w:r>
            <w:r w:rsidRPr="00CC563B">
              <w:rPr>
                <w:rFonts w:eastAsia="華康中黑體" w:hint="eastAsia"/>
                <w:snapToGrid w:val="0"/>
                <w:spacing w:val="22"/>
                <w:sz w:val="22"/>
              </w:rPr>
              <w:t>遍</w:t>
            </w:r>
            <w:r w:rsidRPr="00CC563B">
              <w:rPr>
                <w:rFonts w:eastAsia="華康中黑體" w:hint="eastAsia"/>
                <w:snapToGrid w:val="0"/>
                <w:spacing w:val="22"/>
                <w:sz w:val="22"/>
                <w:lang w:eastAsia="zh-HK"/>
              </w:rPr>
              <w:t>保</w:t>
            </w:r>
            <w:r w:rsidRPr="00CC563B">
              <w:rPr>
                <w:rFonts w:eastAsia="華康中黑體" w:hint="eastAsia"/>
                <w:snapToGrid w:val="0"/>
                <w:spacing w:val="22"/>
                <w:sz w:val="22"/>
              </w:rPr>
              <w:t>持</w:t>
            </w:r>
            <w:r w:rsidRPr="00CC563B">
              <w:rPr>
                <w:rFonts w:eastAsia="華康中黑體" w:hint="eastAsia"/>
                <w:snapToGrid w:val="0"/>
                <w:spacing w:val="22"/>
                <w:sz w:val="22"/>
                <w:lang w:eastAsia="zh-HK"/>
              </w:rPr>
              <w:t>良</w:t>
            </w:r>
            <w:r w:rsidRPr="00CC563B">
              <w:rPr>
                <w:rFonts w:eastAsia="華康中黑體" w:hint="eastAsia"/>
                <w:snapToGrid w:val="0"/>
                <w:spacing w:val="22"/>
                <w:sz w:val="22"/>
              </w:rPr>
              <w:t>好</w:t>
            </w:r>
            <w:r w:rsidRPr="00CC563B">
              <w:rPr>
                <w:rFonts w:eastAsia="華康中黑體" w:hint="eastAsia"/>
                <w:snapToGrid w:val="0"/>
                <w:spacing w:val="22"/>
                <w:sz w:val="22"/>
                <w:lang w:eastAsia="zh-HK"/>
              </w:rPr>
              <w:t>勢頭</w:t>
            </w:r>
          </w:p>
        </w:tc>
      </w:tr>
      <w:tr w:rsidR="00416A57" w:rsidRPr="00CC563B" w14:paraId="0BF45272" w14:textId="77777777" w:rsidTr="00265E5C">
        <w:trPr>
          <w:jc w:val="center"/>
        </w:trPr>
        <w:tc>
          <w:tcPr>
            <w:tcW w:w="9071" w:type="dxa"/>
          </w:tcPr>
          <w:p w14:paraId="10987E0B" w14:textId="77777777" w:rsidR="00CC563B" w:rsidRPr="00CC563B" w:rsidRDefault="00CC563B" w:rsidP="00CC563B">
            <w:pPr>
              <w:keepNext/>
              <w:tabs>
                <w:tab w:val="clear" w:pos="936"/>
                <w:tab w:val="clear" w:pos="1560"/>
                <w:tab w:val="clear" w:pos="2184"/>
              </w:tabs>
              <w:topLinePunct/>
              <w:spacing w:before="120" w:after="0" w:line="240" w:lineRule="atLeast"/>
              <w:ind w:left="737" w:right="113" w:hanging="624"/>
              <w:jc w:val="center"/>
              <w:rPr>
                <w:rFonts w:eastAsia="華康中黑體"/>
                <w:snapToGrid w:val="0"/>
                <w:color w:val="FF0000"/>
                <w:spacing w:val="20"/>
                <w:sz w:val="22"/>
              </w:rPr>
            </w:pPr>
            <w:r w:rsidRPr="00CC563B">
              <w:rPr>
                <w:rFonts w:eastAsia="華康中黑體"/>
                <w:noProof/>
                <w:snapToGrid w:val="0"/>
                <w:color w:val="FF0000"/>
                <w:spacing w:val="20"/>
                <w:sz w:val="22"/>
              </w:rPr>
              <w:drawing>
                <wp:inline distT="0" distB="0" distL="0" distR="0" wp14:anchorId="39C5C6E3" wp14:editId="736BD43E">
                  <wp:extent cx="5375910" cy="3577554"/>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605" t="6746" r="1605"/>
                          <a:stretch/>
                        </pic:blipFill>
                        <pic:spPr bwMode="auto">
                          <a:xfrm>
                            <a:off x="0" y="0"/>
                            <a:ext cx="5377744" cy="357877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FED2F63" w14:textId="77777777" w:rsidR="00CC563B" w:rsidRPr="00CC563B" w:rsidRDefault="00CC563B" w:rsidP="00CC563B">
      <w:pPr>
        <w:tabs>
          <w:tab w:val="clear" w:pos="936"/>
          <w:tab w:val="clear" w:pos="1560"/>
          <w:tab w:val="clear" w:pos="2184"/>
          <w:tab w:val="clear" w:pos="2808"/>
          <w:tab w:val="left" w:pos="700"/>
        </w:tabs>
        <w:topLinePunct/>
        <w:snapToGrid w:val="0"/>
        <w:spacing w:after="0" w:line="240" w:lineRule="auto"/>
        <w:ind w:leftChars="35" w:left="1126" w:right="113" w:hanging="1021"/>
        <w:rPr>
          <w:spacing w:val="12"/>
          <w:kern w:val="18"/>
          <w:sz w:val="16"/>
        </w:rPr>
      </w:pPr>
      <w:r w:rsidRPr="00CC563B">
        <w:rPr>
          <w:rFonts w:hint="eastAsia"/>
          <w:spacing w:val="12"/>
          <w:kern w:val="18"/>
          <w:sz w:val="16"/>
        </w:rPr>
        <w:t>註：</w:t>
      </w:r>
      <w:r w:rsidRPr="00CC563B">
        <w:rPr>
          <w:spacing w:val="12"/>
          <w:kern w:val="18"/>
          <w:sz w:val="16"/>
        </w:rPr>
        <w:tab/>
        <w:t>(^)</w:t>
      </w:r>
      <w:r w:rsidRPr="00CC563B">
        <w:rPr>
          <w:spacing w:val="12"/>
          <w:kern w:val="18"/>
          <w:sz w:val="16"/>
        </w:rPr>
        <w:tab/>
      </w:r>
      <w:r w:rsidRPr="00CC563B">
        <w:rPr>
          <w:rFonts w:hint="eastAsia"/>
          <w:spacing w:val="12"/>
          <w:kern w:val="18"/>
          <w:sz w:val="16"/>
        </w:rPr>
        <w:t>動向指數是按報稱「上升」的中小企百分比，加上報稱「相同」的中小企百分比的一半計算。動向指數高於</w:t>
      </w:r>
      <w:r w:rsidRPr="00CC563B">
        <w:rPr>
          <w:spacing w:val="12"/>
          <w:kern w:val="18"/>
          <w:sz w:val="16"/>
        </w:rPr>
        <w:t>50</w:t>
      </w:r>
      <w:r w:rsidRPr="00CC563B">
        <w:rPr>
          <w:rFonts w:hint="eastAsia"/>
          <w:spacing w:val="12"/>
          <w:kern w:val="18"/>
          <w:sz w:val="16"/>
        </w:rPr>
        <w:t>表示業務狀況普遍向好，低於</w:t>
      </w:r>
      <w:r w:rsidRPr="00CC563B">
        <w:rPr>
          <w:spacing w:val="12"/>
          <w:kern w:val="18"/>
          <w:sz w:val="16"/>
        </w:rPr>
        <w:t>50</w:t>
      </w:r>
      <w:r w:rsidRPr="00CC563B">
        <w:rPr>
          <w:rFonts w:hint="eastAsia"/>
          <w:spacing w:val="12"/>
          <w:kern w:val="18"/>
          <w:sz w:val="16"/>
        </w:rPr>
        <w:t>則表示情況恰恰相反。受訪企業所提供的意見已撇除季節性因素的影響。</w:t>
      </w:r>
    </w:p>
    <w:p w14:paraId="393FC1C1" w14:textId="77777777" w:rsidR="00CC563B" w:rsidRPr="00CC563B" w:rsidRDefault="00CC563B" w:rsidP="00CC563B">
      <w:pPr>
        <w:tabs>
          <w:tab w:val="clear" w:pos="936"/>
          <w:tab w:val="clear" w:pos="1560"/>
          <w:tab w:val="clear" w:pos="2184"/>
          <w:tab w:val="clear" w:pos="2808"/>
          <w:tab w:val="left" w:pos="700"/>
        </w:tabs>
        <w:topLinePunct/>
        <w:snapToGrid w:val="0"/>
        <w:spacing w:after="0" w:line="240" w:lineRule="auto"/>
        <w:ind w:leftChars="35" w:left="1126" w:right="113" w:hanging="1021"/>
        <w:rPr>
          <w:spacing w:val="12"/>
          <w:kern w:val="18"/>
          <w:sz w:val="16"/>
        </w:rPr>
      </w:pPr>
      <w:r w:rsidRPr="00CC563B">
        <w:rPr>
          <w:spacing w:val="12"/>
          <w:kern w:val="18"/>
          <w:sz w:val="16"/>
        </w:rPr>
        <w:tab/>
        <w:t>(~)</w:t>
      </w:r>
      <w:r w:rsidRPr="00CC563B">
        <w:rPr>
          <w:spacing w:val="12"/>
          <w:kern w:val="18"/>
          <w:sz w:val="16"/>
        </w:rPr>
        <w:tab/>
      </w:r>
      <w:r w:rsidRPr="00CC563B">
        <w:rPr>
          <w:rFonts w:hint="eastAsia"/>
          <w:spacing w:val="12"/>
          <w:kern w:val="18"/>
          <w:sz w:val="16"/>
        </w:rPr>
        <w:t>季度數據。</w:t>
      </w:r>
    </w:p>
    <w:p w14:paraId="5DF8EC51" w14:textId="77777777" w:rsidR="00CC563B" w:rsidRPr="00CC563B" w:rsidRDefault="00CC563B" w:rsidP="00CC563B">
      <w:pPr>
        <w:tabs>
          <w:tab w:val="clear" w:pos="936"/>
          <w:tab w:val="clear" w:pos="1560"/>
          <w:tab w:val="clear" w:pos="2184"/>
          <w:tab w:val="clear" w:pos="2808"/>
          <w:tab w:val="left" w:pos="700"/>
        </w:tabs>
        <w:topLinePunct/>
        <w:snapToGrid w:val="0"/>
        <w:spacing w:after="0" w:line="240" w:lineRule="auto"/>
        <w:ind w:leftChars="35" w:left="1126" w:right="113" w:hanging="1021"/>
        <w:rPr>
          <w:spacing w:val="12"/>
          <w:kern w:val="18"/>
          <w:sz w:val="16"/>
        </w:rPr>
      </w:pPr>
      <w:r w:rsidRPr="00CC563B">
        <w:rPr>
          <w:spacing w:val="12"/>
          <w:kern w:val="18"/>
          <w:sz w:val="16"/>
        </w:rPr>
        <w:tab/>
        <w:t>(*)</w:t>
      </w:r>
      <w:r w:rsidRPr="00CC563B">
        <w:rPr>
          <w:spacing w:val="12"/>
          <w:kern w:val="18"/>
          <w:sz w:val="16"/>
        </w:rPr>
        <w:tab/>
      </w:r>
      <w:r w:rsidRPr="00CC563B">
        <w:rPr>
          <w:rFonts w:hint="eastAsia"/>
          <w:spacing w:val="12"/>
          <w:kern w:val="18"/>
          <w:sz w:val="16"/>
        </w:rPr>
        <w:t>自二零二四年第一季起編製的季度數據。指數高於</w:t>
      </w:r>
      <w:r w:rsidRPr="00CC563B">
        <w:rPr>
          <w:spacing w:val="12"/>
          <w:kern w:val="18"/>
          <w:sz w:val="16"/>
        </w:rPr>
        <w:t> 50 </w:t>
      </w:r>
      <w:r w:rsidRPr="00CC563B">
        <w:rPr>
          <w:rFonts w:hint="eastAsia"/>
          <w:spacing w:val="12"/>
          <w:kern w:val="18"/>
          <w:sz w:val="16"/>
        </w:rPr>
        <w:t>表示對前景看漲、態度樂觀，低於</w:t>
      </w:r>
      <w:r w:rsidRPr="00CC563B">
        <w:rPr>
          <w:spacing w:val="12"/>
          <w:kern w:val="18"/>
          <w:sz w:val="16"/>
        </w:rPr>
        <w:t> 50</w:t>
      </w:r>
      <w:r w:rsidRPr="00CC563B">
        <w:rPr>
          <w:rFonts w:hint="eastAsia"/>
          <w:spacing w:val="12"/>
          <w:kern w:val="18"/>
          <w:sz w:val="16"/>
        </w:rPr>
        <w:t>則表示對前景看淡、態度悲觀。</w:t>
      </w:r>
    </w:p>
    <w:p w14:paraId="318ECC26" w14:textId="77777777" w:rsidR="00CC563B" w:rsidRPr="00CC563B" w:rsidRDefault="00CC563B" w:rsidP="00CC563B">
      <w:pPr>
        <w:tabs>
          <w:tab w:val="clear" w:pos="936"/>
          <w:tab w:val="clear" w:pos="1560"/>
          <w:tab w:val="clear" w:pos="2184"/>
          <w:tab w:val="clear" w:pos="2808"/>
          <w:tab w:val="left" w:pos="1345"/>
        </w:tabs>
        <w:topLinePunct/>
        <w:snapToGrid w:val="0"/>
        <w:spacing w:after="120" w:line="320" w:lineRule="exact"/>
        <w:ind w:left="113" w:right="113"/>
        <w:rPr>
          <w:snapToGrid w:val="0"/>
          <w:spacing w:val="20"/>
          <w:sz w:val="22"/>
        </w:rPr>
      </w:pPr>
      <w:r w:rsidRPr="00CC563B">
        <w:rPr>
          <w:snapToGrid w:val="0"/>
          <w:spacing w:val="20"/>
          <w:sz w:val="22"/>
        </w:rPr>
        <w:tab/>
      </w:r>
    </w:p>
    <w:p w14:paraId="4E3A96C9" w14:textId="08AB1301"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lang w:eastAsia="zh-HK"/>
        </w:rPr>
      </w:pPr>
      <w:r w:rsidRPr="00CC563B">
        <w:rPr>
          <w:rFonts w:hint="eastAsia"/>
          <w:snapToGrid w:val="0"/>
          <w:spacing w:val="20"/>
          <w:sz w:val="22"/>
        </w:rPr>
        <w:t>值得注意的是，這些統計調查主要以意見為依據，難免有各種局限</w:t>
      </w:r>
      <w:r w:rsidRPr="00CC563B">
        <w:rPr>
          <w:snapToGrid w:val="0"/>
          <w:spacing w:val="20"/>
          <w:sz w:val="22"/>
        </w:rPr>
        <w:t>(</w:t>
      </w:r>
      <w:r w:rsidRPr="00CC563B">
        <w:rPr>
          <w:rFonts w:hint="eastAsia"/>
          <w:snapToGrid w:val="0"/>
          <w:spacing w:val="20"/>
          <w:sz w:val="22"/>
        </w:rPr>
        <w:t>例如調查結果不可作直接比較</w:t>
      </w:r>
      <w:r w:rsidRPr="00CC563B">
        <w:rPr>
          <w:snapToGrid w:val="0"/>
          <w:spacing w:val="20"/>
          <w:sz w:val="22"/>
        </w:rPr>
        <w:t>)</w:t>
      </w:r>
      <w:r w:rsidRPr="00CC563B">
        <w:rPr>
          <w:rFonts w:hint="eastAsia"/>
          <w:snapToGrid w:val="0"/>
          <w:spacing w:val="20"/>
          <w:sz w:val="22"/>
        </w:rPr>
        <w:t>，因此在詮釋調查結果時務須謹慎。綜觀這些統計調查結果，顯示整體營商氣氛</w:t>
      </w:r>
      <w:r w:rsidRPr="00CC563B">
        <w:rPr>
          <w:rFonts w:hint="eastAsia"/>
          <w:snapToGrid w:val="0"/>
          <w:spacing w:val="20"/>
          <w:sz w:val="22"/>
          <w:lang w:eastAsia="zh-HK"/>
        </w:rPr>
        <w:t>自二零二五年下半年起顯</w:t>
      </w:r>
      <w:r w:rsidR="00AD6846">
        <w:rPr>
          <w:rFonts w:hint="eastAsia"/>
          <w:snapToGrid w:val="0"/>
          <w:spacing w:val="20"/>
          <w:sz w:val="22"/>
          <w:lang w:eastAsia="zh-HK"/>
        </w:rPr>
        <w:t>著</w:t>
      </w:r>
      <w:r w:rsidRPr="00CC563B">
        <w:rPr>
          <w:rFonts w:hint="eastAsia"/>
          <w:snapToGrid w:val="0"/>
          <w:spacing w:val="20"/>
          <w:sz w:val="22"/>
          <w:lang w:eastAsia="zh-HK"/>
        </w:rPr>
        <w:t>改善</w:t>
      </w:r>
      <w:r w:rsidRPr="00CC563B">
        <w:rPr>
          <w:rFonts w:hint="eastAsia"/>
          <w:snapToGrid w:val="0"/>
          <w:spacing w:val="20"/>
          <w:sz w:val="22"/>
        </w:rPr>
        <w:t>。展望未來，</w:t>
      </w:r>
      <w:r w:rsidRPr="00CC563B">
        <w:rPr>
          <w:rFonts w:hint="eastAsia"/>
          <w:snapToGrid w:val="0"/>
          <w:spacing w:val="20"/>
          <w:sz w:val="22"/>
          <w:lang w:eastAsia="zh-HK"/>
        </w:rPr>
        <w:t>儘</w:t>
      </w:r>
      <w:r w:rsidRPr="00CC563B">
        <w:rPr>
          <w:rFonts w:hint="eastAsia"/>
          <w:snapToGrid w:val="0"/>
          <w:spacing w:val="20"/>
          <w:sz w:val="22"/>
        </w:rPr>
        <w:t>管</w:t>
      </w:r>
      <w:r w:rsidRPr="00CC563B">
        <w:rPr>
          <w:rFonts w:hint="eastAsia"/>
          <w:snapToGrid w:val="0"/>
          <w:spacing w:val="20"/>
          <w:sz w:val="22"/>
          <w:lang w:eastAsia="zh-HK"/>
        </w:rPr>
        <w:t>外圍環境仍</w:t>
      </w:r>
      <w:r w:rsidRPr="00CC563B">
        <w:rPr>
          <w:rFonts w:hint="eastAsia"/>
          <w:snapToGrid w:val="0"/>
          <w:spacing w:val="20"/>
          <w:sz w:val="22"/>
        </w:rPr>
        <w:t>有</w:t>
      </w:r>
      <w:r w:rsidRPr="00CC563B">
        <w:rPr>
          <w:rFonts w:hint="eastAsia"/>
          <w:snapToGrid w:val="0"/>
          <w:spacing w:val="20"/>
          <w:sz w:val="22"/>
          <w:lang w:eastAsia="zh-HK"/>
        </w:rPr>
        <w:t>值得關注的不確定性，香港經</w:t>
      </w:r>
      <w:r w:rsidRPr="00CC563B">
        <w:rPr>
          <w:rFonts w:hint="eastAsia"/>
          <w:snapToGrid w:val="0"/>
          <w:spacing w:val="20"/>
          <w:sz w:val="22"/>
        </w:rPr>
        <w:t>濟</w:t>
      </w:r>
      <w:r w:rsidRPr="00CC563B">
        <w:rPr>
          <w:rFonts w:hint="eastAsia"/>
          <w:snapToGrid w:val="0"/>
          <w:spacing w:val="20"/>
          <w:sz w:val="22"/>
          <w:lang w:eastAsia="zh-HK"/>
        </w:rPr>
        <w:t>的良好增長勢頭應有助本地營商氣</w:t>
      </w:r>
      <w:r w:rsidRPr="00CC563B">
        <w:rPr>
          <w:rFonts w:hint="eastAsia"/>
          <w:snapToGrid w:val="0"/>
          <w:spacing w:val="20"/>
          <w:sz w:val="22"/>
        </w:rPr>
        <w:t>氛</w:t>
      </w:r>
      <w:r w:rsidRPr="00CC563B">
        <w:rPr>
          <w:rFonts w:hint="eastAsia"/>
          <w:snapToGrid w:val="0"/>
          <w:spacing w:val="20"/>
          <w:sz w:val="22"/>
          <w:lang w:eastAsia="zh-HK"/>
        </w:rPr>
        <w:t>持續改善。</w:t>
      </w:r>
    </w:p>
    <w:p w14:paraId="38B773B6"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p>
    <w:p w14:paraId="70DEED06"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p>
    <w:p w14:paraId="3337EC34" w14:textId="77777777" w:rsidR="00CC563B" w:rsidRPr="00CC563B" w:rsidRDefault="00CC563B" w:rsidP="00CC563B">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CC563B">
        <w:rPr>
          <w:noProof/>
          <w:snapToGrid w:val="0"/>
          <w:spacing w:val="20"/>
          <w:sz w:val="22"/>
        </w:rPr>
        <mc:AlternateContent>
          <mc:Choice Requires="wps">
            <w:drawing>
              <wp:anchor distT="4294967293" distB="4294967293" distL="114300" distR="114300" simplePos="0" relativeHeight="251664384" behindDoc="0" locked="0" layoutInCell="1" allowOverlap="1" wp14:anchorId="0ABA504E" wp14:editId="74C14402">
                <wp:simplePos x="0" y="0"/>
                <wp:positionH relativeFrom="column">
                  <wp:posOffset>2108200</wp:posOffset>
                </wp:positionH>
                <wp:positionV relativeFrom="paragraph">
                  <wp:posOffset>83185</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1C4660" id="直線接點 7"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6.55pt" to="283.7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"/>
            </w:pict>
          </mc:Fallback>
        </mc:AlternateContent>
      </w:r>
    </w:p>
    <w:p w14:paraId="036D4576" w14:textId="77777777" w:rsidR="00CC563B" w:rsidRPr="00CC563B" w:rsidRDefault="00CC563B" w:rsidP="00CC563B">
      <w:pPr>
        <w:tabs>
          <w:tab w:val="clear" w:pos="936"/>
          <w:tab w:val="clear" w:pos="1560"/>
          <w:tab w:val="clear" w:pos="2184"/>
          <w:tab w:val="clear" w:pos="2808"/>
          <w:tab w:val="left" w:pos="2495"/>
        </w:tabs>
        <w:snapToGrid w:val="0"/>
        <w:spacing w:after="120" w:line="200" w:lineRule="atLeast"/>
        <w:ind w:left="680" w:right="113" w:hanging="567"/>
        <w:rPr>
          <w:spacing w:val="20"/>
          <w:kern w:val="2"/>
          <w:sz w:val="18"/>
        </w:rPr>
      </w:pPr>
      <w:r w:rsidRPr="00CC563B">
        <w:rPr>
          <w:spacing w:val="20"/>
          <w:kern w:val="2"/>
          <w:sz w:val="18"/>
        </w:rPr>
        <w:t>(4)</w:t>
      </w:r>
      <w:r w:rsidRPr="00CC563B">
        <w:rPr>
          <w:spacing w:val="20"/>
          <w:kern w:val="2"/>
          <w:sz w:val="18"/>
        </w:rPr>
        <w:tab/>
      </w:r>
      <w:r w:rsidRPr="00CC563B">
        <w:rPr>
          <w:rFonts w:hint="eastAsia"/>
          <w:spacing w:val="20"/>
          <w:kern w:val="2"/>
          <w:sz w:val="18"/>
        </w:rPr>
        <w:t>標普全球香港採購經理指數根據約</w:t>
      </w:r>
      <w:r w:rsidRPr="00CC563B">
        <w:rPr>
          <w:rFonts w:hint="eastAsia"/>
          <w:spacing w:val="20"/>
          <w:kern w:val="2"/>
          <w:sz w:val="18"/>
        </w:rPr>
        <w:t>400</w:t>
      </w:r>
      <w:r w:rsidRPr="00CC563B">
        <w:rPr>
          <w:rFonts w:hint="eastAsia"/>
          <w:spacing w:val="20"/>
          <w:kern w:val="2"/>
          <w:sz w:val="18"/>
        </w:rPr>
        <w:t>家私營公司的採購經理每月就問卷調查所作的回覆而編製。這個綜合指數是按照五個分類指數計算出來，相關權數如下：新訂單</w:t>
      </w:r>
      <w:r w:rsidRPr="00CC563B">
        <w:rPr>
          <w:rFonts w:hint="eastAsia"/>
          <w:spacing w:val="20"/>
          <w:kern w:val="2"/>
          <w:sz w:val="18"/>
        </w:rPr>
        <w:t>(30%)</w:t>
      </w:r>
      <w:r w:rsidRPr="00CC563B">
        <w:rPr>
          <w:rFonts w:hint="eastAsia"/>
          <w:spacing w:val="20"/>
          <w:kern w:val="2"/>
          <w:sz w:val="18"/>
        </w:rPr>
        <w:t>、產出</w:t>
      </w:r>
      <w:r w:rsidRPr="00CC563B">
        <w:rPr>
          <w:rFonts w:hint="eastAsia"/>
          <w:spacing w:val="20"/>
          <w:kern w:val="2"/>
          <w:sz w:val="18"/>
        </w:rPr>
        <w:t>(25%)</w:t>
      </w:r>
      <w:r w:rsidRPr="00CC563B">
        <w:rPr>
          <w:rFonts w:hint="eastAsia"/>
          <w:spacing w:val="20"/>
          <w:kern w:val="2"/>
          <w:sz w:val="18"/>
        </w:rPr>
        <w:t>、就業人數</w:t>
      </w:r>
      <w:r w:rsidRPr="00CC563B">
        <w:rPr>
          <w:rFonts w:hint="eastAsia"/>
          <w:spacing w:val="20"/>
          <w:kern w:val="2"/>
          <w:sz w:val="18"/>
        </w:rPr>
        <w:t>(20%)</w:t>
      </w:r>
      <w:r w:rsidRPr="00CC563B">
        <w:rPr>
          <w:rFonts w:hint="eastAsia"/>
          <w:spacing w:val="20"/>
          <w:kern w:val="2"/>
          <w:sz w:val="18"/>
        </w:rPr>
        <w:t>、供應商交期</w:t>
      </w:r>
      <w:r w:rsidRPr="00CC563B">
        <w:rPr>
          <w:rFonts w:hint="eastAsia"/>
          <w:spacing w:val="20"/>
          <w:kern w:val="2"/>
          <w:sz w:val="18"/>
        </w:rPr>
        <w:t>(15%)</w:t>
      </w:r>
      <w:r w:rsidRPr="00CC563B">
        <w:rPr>
          <w:rFonts w:hint="eastAsia"/>
          <w:spacing w:val="20"/>
          <w:kern w:val="2"/>
          <w:sz w:val="18"/>
        </w:rPr>
        <w:t>及採購庫存</w:t>
      </w:r>
      <w:r w:rsidRPr="00CC563B">
        <w:rPr>
          <w:rFonts w:hint="eastAsia"/>
          <w:spacing w:val="20"/>
          <w:kern w:val="2"/>
          <w:sz w:val="18"/>
        </w:rPr>
        <w:t>(10%)</w:t>
      </w:r>
      <w:r w:rsidRPr="00CC563B">
        <w:rPr>
          <w:rFonts w:hint="eastAsia"/>
          <w:spacing w:val="20"/>
          <w:kern w:val="2"/>
          <w:sz w:val="18"/>
        </w:rPr>
        <w:t>；其中，供應商交期指數作反向計算，令其走向可與其他指數比較。調查結果反映當月對比上月的變化。</w:t>
      </w:r>
    </w:p>
    <w:p w14:paraId="120E66AF" w14:textId="77777777" w:rsidR="00CC563B" w:rsidRPr="00CC563B" w:rsidRDefault="00CC563B" w:rsidP="00CC563B">
      <w:pPr>
        <w:tabs>
          <w:tab w:val="clear" w:pos="936"/>
          <w:tab w:val="clear" w:pos="1560"/>
          <w:tab w:val="clear" w:pos="2184"/>
          <w:tab w:val="clear" w:pos="2808"/>
          <w:tab w:val="left" w:pos="2495"/>
        </w:tabs>
        <w:overflowPunct/>
        <w:topLinePunct/>
        <w:snapToGrid w:val="0"/>
        <w:spacing w:after="120" w:line="200" w:lineRule="atLeast"/>
        <w:ind w:left="680" w:right="113" w:hanging="567"/>
        <w:rPr>
          <w:spacing w:val="20"/>
          <w:kern w:val="2"/>
          <w:sz w:val="18"/>
        </w:rPr>
      </w:pPr>
      <w:r w:rsidRPr="00CC563B">
        <w:rPr>
          <w:spacing w:val="20"/>
          <w:kern w:val="2"/>
          <w:sz w:val="18"/>
        </w:rPr>
        <w:t>(5)</w:t>
      </w:r>
      <w:r w:rsidRPr="00CC563B">
        <w:rPr>
          <w:spacing w:val="20"/>
          <w:kern w:val="2"/>
          <w:sz w:val="18"/>
        </w:rPr>
        <w:tab/>
      </w:r>
      <w:r w:rsidRPr="00CC563B">
        <w:rPr>
          <w:rFonts w:hint="eastAsia"/>
          <w:spacing w:val="20"/>
          <w:kern w:val="2"/>
          <w:sz w:val="18"/>
        </w:rPr>
        <w:t>香港貿發局出口信心指數旨在反映香港貿易商的短期出口前景。這個綜合指數是按照五個分類指數計算出來，相關權數如下：銷售及新訂單</w:t>
      </w:r>
      <w:r w:rsidRPr="00CC563B">
        <w:rPr>
          <w:rFonts w:hint="eastAsia"/>
          <w:spacing w:val="20"/>
          <w:kern w:val="2"/>
          <w:sz w:val="18"/>
        </w:rPr>
        <w:t>(50.0%)</w:t>
      </w:r>
      <w:r w:rsidRPr="00CC563B">
        <w:rPr>
          <w:rFonts w:hint="eastAsia"/>
          <w:spacing w:val="20"/>
          <w:kern w:val="2"/>
          <w:sz w:val="18"/>
        </w:rPr>
        <w:t>、貿易價值</w:t>
      </w:r>
      <w:r w:rsidRPr="00CC563B">
        <w:rPr>
          <w:rFonts w:hint="eastAsia"/>
          <w:spacing w:val="20"/>
          <w:kern w:val="2"/>
          <w:sz w:val="18"/>
        </w:rPr>
        <w:t>(12.5%)</w:t>
      </w:r>
      <w:r w:rsidRPr="00CC563B">
        <w:rPr>
          <w:rFonts w:hint="eastAsia"/>
          <w:spacing w:val="20"/>
          <w:kern w:val="2"/>
          <w:sz w:val="18"/>
        </w:rPr>
        <w:t>、成本</w:t>
      </w:r>
      <w:r w:rsidRPr="00CC563B">
        <w:rPr>
          <w:rFonts w:hint="eastAsia"/>
          <w:spacing w:val="20"/>
          <w:kern w:val="2"/>
          <w:sz w:val="18"/>
        </w:rPr>
        <w:t>(12.5%)</w:t>
      </w:r>
      <w:r w:rsidRPr="00CC563B">
        <w:rPr>
          <w:rFonts w:hint="eastAsia"/>
          <w:spacing w:val="20"/>
          <w:kern w:val="2"/>
          <w:sz w:val="18"/>
        </w:rPr>
        <w:t>、採購</w:t>
      </w:r>
      <w:r w:rsidRPr="00CC563B">
        <w:rPr>
          <w:rFonts w:hint="eastAsia"/>
          <w:spacing w:val="20"/>
          <w:kern w:val="2"/>
          <w:sz w:val="18"/>
        </w:rPr>
        <w:t>(12.5%)</w:t>
      </w:r>
      <w:r w:rsidRPr="00CC563B">
        <w:rPr>
          <w:rFonts w:hint="eastAsia"/>
          <w:spacing w:val="20"/>
          <w:kern w:val="2"/>
          <w:sz w:val="18"/>
        </w:rPr>
        <w:t>及庫存</w:t>
      </w:r>
      <w:r w:rsidRPr="00CC563B">
        <w:rPr>
          <w:rFonts w:hint="eastAsia"/>
          <w:spacing w:val="20"/>
          <w:kern w:val="2"/>
          <w:sz w:val="18"/>
        </w:rPr>
        <w:t>(12.5%)</w:t>
      </w:r>
      <w:r w:rsidRPr="00CC563B">
        <w:rPr>
          <w:rFonts w:hint="eastAsia"/>
          <w:spacing w:val="20"/>
          <w:kern w:val="2"/>
          <w:sz w:val="18"/>
        </w:rPr>
        <w:t>；其中，成本指數和庫存指數作反向計算，令其走向可與其他指數比較。這項營商信心調查按季進行，邀請</w:t>
      </w:r>
      <w:r w:rsidRPr="00CC563B">
        <w:rPr>
          <w:spacing w:val="20"/>
          <w:kern w:val="2"/>
          <w:sz w:val="18"/>
        </w:rPr>
        <w:t> </w:t>
      </w:r>
      <w:r w:rsidRPr="00CC563B">
        <w:rPr>
          <w:rFonts w:hint="eastAsia"/>
          <w:spacing w:val="20"/>
          <w:kern w:val="2"/>
          <w:sz w:val="18"/>
        </w:rPr>
        <w:t>500</w:t>
      </w:r>
      <w:r w:rsidRPr="00CC563B">
        <w:rPr>
          <w:spacing w:val="20"/>
          <w:kern w:val="2"/>
          <w:sz w:val="18"/>
        </w:rPr>
        <w:t> </w:t>
      </w:r>
      <w:r w:rsidRPr="00CC563B">
        <w:rPr>
          <w:rFonts w:hint="eastAsia"/>
          <w:spacing w:val="20"/>
          <w:kern w:val="2"/>
          <w:sz w:val="18"/>
        </w:rPr>
        <w:t>多家香港貿易商參與，他們來自六個主要行業，分別為電子產品業、服裝業、玩具業、珠寶業、鐘錶業及生產設備／物料業。</w:t>
      </w:r>
    </w:p>
    <w:p w14:paraId="7BB788E8" w14:textId="1A645A79" w:rsidR="002B6908" w:rsidRPr="006D5A4A" w:rsidRDefault="002B6908" w:rsidP="0093046C">
      <w:pPr>
        <w:pStyle w:val="120"/>
      </w:pPr>
      <w:r w:rsidRPr="00016EB4">
        <w:rPr>
          <w:rFonts w:hint="eastAsia"/>
          <w:lang w:val="en-GB"/>
        </w:rPr>
        <w:lastRenderedPageBreak/>
        <w:t>勞工市場</w:t>
      </w:r>
    </w:p>
    <w:p w14:paraId="4B0C2B22" w14:textId="63CF6A15" w:rsidR="002B6908" w:rsidRDefault="002B6908" w:rsidP="0093046C">
      <w:pPr>
        <w:rPr>
          <w:rFonts w:cs="新細明體"/>
        </w:rPr>
      </w:pPr>
      <w:r w:rsidRPr="00A02D42">
        <w:rPr>
          <w:rFonts w:hint="eastAsia"/>
          <w:b/>
        </w:rPr>
        <w:t>1</w:t>
      </w:r>
      <w:r w:rsidRPr="00A02D42">
        <w:rPr>
          <w:b/>
        </w:rPr>
        <w:t>.</w:t>
      </w:r>
      <w:r>
        <w:rPr>
          <w:b/>
        </w:rPr>
        <w:t>8</w:t>
      </w:r>
      <w:r w:rsidRPr="00A02D42">
        <w:tab/>
      </w:r>
      <w:r w:rsidR="004A1748" w:rsidRPr="004A1748">
        <w:rPr>
          <w:rFonts w:hint="eastAsia"/>
        </w:rPr>
        <w:t>勞工市場在二零二五年較後時間呈回穩</w:t>
      </w:r>
      <w:r w:rsidR="0005767D">
        <w:rPr>
          <w:rFonts w:hint="eastAsia"/>
        </w:rPr>
        <w:t>迹</w:t>
      </w:r>
      <w:r w:rsidR="004A1748" w:rsidRPr="004A1748">
        <w:rPr>
          <w:rFonts w:hint="eastAsia"/>
        </w:rPr>
        <w:t>象。經季節性調整的</w:t>
      </w:r>
      <w:r w:rsidR="004A1748" w:rsidRPr="00CF6E3C">
        <w:rPr>
          <w:rFonts w:hint="eastAsia"/>
          <w:i/>
        </w:rPr>
        <w:t>失業率</w:t>
      </w:r>
      <w:r w:rsidR="004A1748" w:rsidRPr="004A1748">
        <w:rPr>
          <w:rFonts w:hint="eastAsia"/>
        </w:rPr>
        <w:t>由一年前第四季的</w:t>
      </w:r>
      <w:r w:rsidR="004A1748">
        <w:rPr>
          <w:lang w:val="en-GB"/>
        </w:rPr>
        <w:t> </w:t>
      </w:r>
      <w:r w:rsidR="004A1748" w:rsidRPr="004A1748">
        <w:rPr>
          <w:rFonts w:hint="eastAsia"/>
        </w:rPr>
        <w:t>3.1%</w:t>
      </w:r>
      <w:r w:rsidR="004A1748" w:rsidRPr="004A1748">
        <w:rPr>
          <w:rFonts w:hint="eastAsia"/>
        </w:rPr>
        <w:t>逐步上升至</w:t>
      </w:r>
      <w:r w:rsidR="008671D6" w:rsidRPr="004A1748">
        <w:rPr>
          <w:rFonts w:hint="eastAsia"/>
        </w:rPr>
        <w:t>二零二五</w:t>
      </w:r>
      <w:r w:rsidR="00AD6846">
        <w:rPr>
          <w:rFonts w:hint="eastAsia"/>
        </w:rPr>
        <w:t>年</w:t>
      </w:r>
      <w:r w:rsidR="008671D6">
        <w:rPr>
          <w:rFonts w:hint="eastAsia"/>
        </w:rPr>
        <w:t>第</w:t>
      </w:r>
      <w:r w:rsidR="008671D6">
        <w:rPr>
          <w:rFonts w:hint="eastAsia"/>
          <w:lang w:eastAsia="zh-HK"/>
        </w:rPr>
        <w:t>三</w:t>
      </w:r>
      <w:r w:rsidR="004A1748" w:rsidRPr="004A1748">
        <w:rPr>
          <w:rFonts w:hint="eastAsia"/>
        </w:rPr>
        <w:t>季的</w:t>
      </w:r>
      <w:r w:rsidR="004A1748" w:rsidRPr="004A1748">
        <w:rPr>
          <w:rFonts w:hint="eastAsia"/>
        </w:rPr>
        <w:t>3.9%</w:t>
      </w:r>
      <w:r w:rsidR="004A1748" w:rsidRPr="004A1748">
        <w:rPr>
          <w:rFonts w:hint="eastAsia"/>
        </w:rPr>
        <w:t>，在第四季稍微回落至</w:t>
      </w:r>
      <w:r w:rsidR="004A1748">
        <w:rPr>
          <w:lang w:val="en-GB"/>
        </w:rPr>
        <w:t> </w:t>
      </w:r>
      <w:r w:rsidR="004A1748" w:rsidRPr="004A1748">
        <w:rPr>
          <w:rFonts w:hint="eastAsia"/>
        </w:rPr>
        <w:t>3.8%</w:t>
      </w:r>
      <w:r w:rsidR="004A1748" w:rsidRPr="004A1748">
        <w:rPr>
          <w:rFonts w:hint="eastAsia"/>
        </w:rPr>
        <w:t>。</w:t>
      </w:r>
      <w:r w:rsidR="00045CC2" w:rsidRPr="005C7CB7">
        <w:rPr>
          <w:rFonts w:cs="新細明體" w:hint="eastAsia"/>
          <w:lang w:eastAsia="zh-HK"/>
        </w:rPr>
        <w:t>第四季</w:t>
      </w:r>
      <w:r w:rsidRPr="00CF6E3C">
        <w:rPr>
          <w:rFonts w:cs="新細明體" w:hint="eastAsia"/>
          <w:i/>
        </w:rPr>
        <w:t>就業不足率</w:t>
      </w:r>
      <w:r w:rsidRPr="00CF6E3C">
        <w:rPr>
          <w:rFonts w:cs="新細明體" w:hint="eastAsia"/>
          <w:lang w:eastAsia="zh-HK"/>
        </w:rPr>
        <w:t>由</w:t>
      </w:r>
      <w:r>
        <w:rPr>
          <w:rFonts w:hint="eastAsia"/>
        </w:rPr>
        <w:t>一年前的</w:t>
      </w:r>
      <w:r>
        <w:t> </w:t>
      </w:r>
      <w:r w:rsidRPr="00CF6E3C">
        <w:rPr>
          <w:rFonts w:cs="新細明體" w:hint="eastAsia"/>
        </w:rPr>
        <w:t>1.</w:t>
      </w:r>
      <w:r>
        <w:rPr>
          <w:rFonts w:cs="新細明體" w:hint="eastAsia"/>
        </w:rPr>
        <w:t>1</w:t>
      </w:r>
      <w:r w:rsidRPr="00CF6E3C">
        <w:rPr>
          <w:rFonts w:cs="新細明體" w:hint="eastAsia"/>
        </w:rPr>
        <w:t>%</w:t>
      </w:r>
      <w:r w:rsidRPr="00CF6E3C">
        <w:rPr>
          <w:rFonts w:hint="eastAsia"/>
        </w:rPr>
        <w:t>上</w:t>
      </w:r>
      <w:r w:rsidRPr="00CF6E3C">
        <w:rPr>
          <w:rFonts w:cs="新細明體" w:hint="eastAsia"/>
          <w:lang w:eastAsia="zh-HK"/>
        </w:rPr>
        <w:t>升至</w:t>
      </w:r>
      <w:r w:rsidRPr="00CF6E3C">
        <w:rPr>
          <w:rFonts w:cs="新細明體" w:hint="eastAsia"/>
        </w:rPr>
        <w:t>1.</w:t>
      </w:r>
      <w:r>
        <w:rPr>
          <w:rFonts w:cs="新細明體" w:hint="eastAsia"/>
        </w:rPr>
        <w:t>7</w:t>
      </w:r>
      <w:r w:rsidRPr="00CF6E3C">
        <w:rPr>
          <w:rFonts w:cs="新細明體" w:hint="eastAsia"/>
        </w:rPr>
        <w:t>%</w:t>
      </w:r>
      <w:r w:rsidRPr="00CF6E3C">
        <w:rPr>
          <w:rFonts w:cs="新細明體" w:hint="eastAsia"/>
        </w:rPr>
        <w:t>。</w:t>
      </w:r>
      <w:r w:rsidRPr="00830917">
        <w:rPr>
          <w:rFonts w:hint="eastAsia"/>
        </w:rPr>
        <w:t>第四季</w:t>
      </w:r>
      <w:r>
        <w:rPr>
          <w:rFonts w:hint="eastAsia"/>
          <w:lang w:eastAsia="zh-HK"/>
        </w:rPr>
        <w:t>多</w:t>
      </w:r>
      <w:r w:rsidRPr="00830917">
        <w:rPr>
          <w:rFonts w:hint="eastAsia"/>
        </w:rPr>
        <w:t>個主要行業的失業率</w:t>
      </w:r>
      <w:r>
        <w:rPr>
          <w:rFonts w:hint="eastAsia"/>
          <w:lang w:eastAsia="zh-HK"/>
        </w:rPr>
        <w:t>較上一季</w:t>
      </w:r>
      <w:r>
        <w:rPr>
          <w:rFonts w:hint="eastAsia"/>
        </w:rPr>
        <w:t>下跌。</w:t>
      </w:r>
      <w:r w:rsidR="004A1748" w:rsidRPr="004A1748">
        <w:rPr>
          <w:rFonts w:hint="eastAsia"/>
        </w:rPr>
        <w:t>就業收入在年內繼續上升。</w:t>
      </w:r>
    </w:p>
    <w:p w14:paraId="61CC699F" w14:textId="085F0980" w:rsidR="002B6908" w:rsidRPr="006D5A4A" w:rsidRDefault="002B6908" w:rsidP="0093046C">
      <w:pPr>
        <w:pStyle w:val="120"/>
      </w:pPr>
      <w:r w:rsidRPr="009B0C9C">
        <w:rPr>
          <w:rFonts w:hint="eastAsia"/>
        </w:rPr>
        <w:t>資產市場</w:t>
      </w:r>
    </w:p>
    <w:p w14:paraId="79FCF391" w14:textId="5A7E0A6D" w:rsidR="002B6908" w:rsidRPr="00DA1255" w:rsidRDefault="002B6908" w:rsidP="0093046C">
      <w:pPr>
        <w:rPr>
          <w:i/>
          <w:lang w:eastAsia="zh-HK"/>
        </w:rPr>
      </w:pPr>
      <w:r w:rsidRPr="00DA1255">
        <w:rPr>
          <w:b/>
          <w:lang w:val="en-GB"/>
        </w:rPr>
        <w:t>1.9</w:t>
      </w:r>
      <w:r w:rsidRPr="00DA1255">
        <w:rPr>
          <w:lang w:val="en-GB"/>
        </w:rPr>
        <w:tab/>
      </w:r>
      <w:r w:rsidRPr="007F3E43">
        <w:rPr>
          <w:rFonts w:hint="eastAsia"/>
          <w:i/>
          <w:iCs/>
          <w:lang w:val="en-GB" w:eastAsia="zh-HK"/>
        </w:rPr>
        <w:t>本地股票市場</w:t>
      </w:r>
      <w:r w:rsidRPr="00DA1255">
        <w:rPr>
          <w:rFonts w:hint="eastAsia"/>
          <w:lang w:val="en-GB" w:eastAsia="zh-HK"/>
        </w:rPr>
        <w:t>在二零二五年表</w:t>
      </w:r>
      <w:r w:rsidRPr="00DA1255">
        <w:rPr>
          <w:rFonts w:hint="eastAsia"/>
          <w:lang w:val="en-GB"/>
        </w:rPr>
        <w:t>現</w:t>
      </w:r>
      <w:r w:rsidRPr="00DA1255">
        <w:rPr>
          <w:rFonts w:hint="eastAsia"/>
          <w:lang w:val="en-GB" w:eastAsia="zh-HK"/>
        </w:rPr>
        <w:t>強</w:t>
      </w:r>
      <w:r w:rsidRPr="00DA1255">
        <w:rPr>
          <w:rFonts w:hint="eastAsia"/>
          <w:lang w:val="en-GB"/>
        </w:rPr>
        <w:t>勁</w:t>
      </w:r>
      <w:r w:rsidRPr="00DA1255">
        <w:rPr>
          <w:rFonts w:hint="eastAsia"/>
          <w:lang w:val="en-GB" w:eastAsia="zh-HK"/>
        </w:rPr>
        <w:t>。</w:t>
      </w:r>
      <w:r w:rsidR="0025479D" w:rsidRPr="0025479D">
        <w:rPr>
          <w:rFonts w:hint="eastAsia"/>
          <w:lang w:val="en-GB" w:eastAsia="zh-HK"/>
        </w:rPr>
        <w:t>市場初時受到內地人工智能的突破性發展所帶動，但在四月初美國宣布徵收所謂的「對等關稅」後，港股跟隨其他主要市場出現大幅調整。</w:t>
      </w:r>
      <w:r w:rsidR="00853323" w:rsidRPr="0025479D">
        <w:rPr>
          <w:rFonts w:hint="eastAsia"/>
          <w:lang w:val="en-GB" w:eastAsia="zh-HK"/>
        </w:rPr>
        <w:t>市場氣氛其後</w:t>
      </w:r>
      <w:r w:rsidR="0025479D" w:rsidRPr="0025479D">
        <w:rPr>
          <w:rFonts w:hint="eastAsia"/>
          <w:lang w:val="en-GB" w:eastAsia="zh-HK"/>
        </w:rPr>
        <w:t>隨着科技行業蓬勃發展、貿易摩擦逐步緩和，以及美國減息</w:t>
      </w:r>
      <w:r w:rsidR="00853323">
        <w:rPr>
          <w:rFonts w:hint="eastAsia"/>
          <w:lang w:val="en-GB" w:eastAsia="zh-HK"/>
        </w:rPr>
        <w:t>而</w:t>
      </w:r>
      <w:r w:rsidR="0025479D" w:rsidRPr="0025479D">
        <w:rPr>
          <w:rFonts w:hint="eastAsia"/>
          <w:lang w:val="en-GB" w:eastAsia="zh-HK"/>
        </w:rPr>
        <w:t>好轉，並在年內餘下時間保持正面。</w:t>
      </w:r>
      <w:r w:rsidRPr="00DA1255">
        <w:rPr>
          <w:rFonts w:hint="eastAsia"/>
          <w:lang w:val="en-GB" w:eastAsia="zh-HK"/>
        </w:rPr>
        <w:t>恒指在年</w:t>
      </w:r>
      <w:r w:rsidRPr="00DA1255">
        <w:rPr>
          <w:rFonts w:hint="eastAsia"/>
          <w:lang w:val="en-GB"/>
        </w:rPr>
        <w:t>底</w:t>
      </w:r>
      <w:r w:rsidRPr="00DA1255">
        <w:rPr>
          <w:rFonts w:hint="eastAsia"/>
          <w:lang w:val="en-GB" w:eastAsia="zh-HK"/>
        </w:rPr>
        <w:t>收報</w:t>
      </w:r>
      <w:r w:rsidRPr="00DA1255">
        <w:rPr>
          <w:lang w:val="en-GB" w:eastAsia="zh-HK"/>
        </w:rPr>
        <w:t>25</w:t>
      </w:r>
      <w:r w:rsidRPr="00DA1255">
        <w:rPr>
          <w:lang w:eastAsia="zh-HK"/>
        </w:rPr>
        <w:t> </w:t>
      </w:r>
      <w:r w:rsidRPr="00DA1255">
        <w:rPr>
          <w:lang w:val="en-GB" w:eastAsia="zh-HK"/>
        </w:rPr>
        <w:t>631</w:t>
      </w:r>
      <w:r w:rsidRPr="00DA1255">
        <w:rPr>
          <w:rFonts w:hint="eastAsia"/>
          <w:lang w:val="en-GB" w:eastAsia="zh-HK"/>
        </w:rPr>
        <w:t>點，全年</w:t>
      </w:r>
      <w:r w:rsidRPr="00DA1255">
        <w:rPr>
          <w:rFonts w:hint="eastAsia"/>
          <w:lang w:val="en-GB"/>
        </w:rPr>
        <w:t>計</w:t>
      </w:r>
      <w:r w:rsidRPr="00DA1255">
        <w:rPr>
          <w:rFonts w:hint="eastAsia"/>
          <w:lang w:val="en-GB" w:eastAsia="zh-HK"/>
        </w:rPr>
        <w:t>錄得</w:t>
      </w:r>
      <w:r w:rsidRPr="00DA1255">
        <w:rPr>
          <w:rFonts w:hint="eastAsia"/>
          <w:lang w:val="en-GB"/>
        </w:rPr>
        <w:t>27.8%</w:t>
      </w:r>
      <w:r w:rsidRPr="00DA1255">
        <w:rPr>
          <w:rFonts w:hint="eastAsia"/>
          <w:lang w:val="en-GB" w:eastAsia="zh-HK"/>
        </w:rPr>
        <w:t>的可觀升幅。交投活動非常活躍，平均每日成交額飆升</w:t>
      </w:r>
      <w:r w:rsidR="003C01BE">
        <w:rPr>
          <w:lang w:eastAsia="zh-HK"/>
        </w:rPr>
        <w:t> </w:t>
      </w:r>
      <w:r w:rsidRPr="00DA1255">
        <w:rPr>
          <w:rFonts w:hint="eastAsia"/>
          <w:lang w:eastAsia="zh-HK"/>
        </w:rPr>
        <w:t>89.5</w:t>
      </w:r>
      <w:r w:rsidRPr="00DA1255">
        <w:rPr>
          <w:lang w:val="en-GB" w:eastAsia="zh-HK"/>
        </w:rPr>
        <w:t>%</w:t>
      </w:r>
      <w:r w:rsidRPr="00DA1255">
        <w:rPr>
          <w:rFonts w:hint="eastAsia"/>
          <w:lang w:val="en-GB" w:eastAsia="zh-HK"/>
        </w:rPr>
        <w:t>至</w:t>
      </w:r>
      <w:r w:rsidR="003C01BE">
        <w:rPr>
          <w:lang w:eastAsia="zh-HK"/>
        </w:rPr>
        <w:t> </w:t>
      </w:r>
      <w:r w:rsidRPr="00DA1255">
        <w:rPr>
          <w:rFonts w:hint="eastAsia"/>
          <w:lang w:val="en-GB" w:eastAsia="zh-HK"/>
        </w:rPr>
        <w:t>2,498</w:t>
      </w:r>
      <w:r w:rsidRPr="00DA1255">
        <w:rPr>
          <w:lang w:eastAsia="zh-HK"/>
        </w:rPr>
        <w:t> </w:t>
      </w:r>
      <w:r w:rsidRPr="00DA1255">
        <w:rPr>
          <w:rFonts w:hint="eastAsia"/>
          <w:lang w:val="en-GB" w:eastAsia="zh-HK"/>
        </w:rPr>
        <w:t>億元，創紀錄新高。</w:t>
      </w:r>
      <w:r w:rsidRPr="00DA1255">
        <w:t>集資活動</w:t>
      </w:r>
      <w:r w:rsidRPr="00DA1255">
        <w:rPr>
          <w:rFonts w:hint="eastAsia"/>
        </w:rPr>
        <w:t>暢旺</w:t>
      </w:r>
      <w:r w:rsidRPr="00DA1255">
        <w:rPr>
          <w:rFonts w:hint="eastAsia"/>
          <w:lang w:eastAsia="zh-HK"/>
        </w:rPr>
        <w:t>。</w:t>
      </w:r>
      <w:r w:rsidRPr="00DA1255">
        <w:t>集資總額</w:t>
      </w:r>
      <w:r w:rsidRPr="00DA1255">
        <w:rPr>
          <w:rFonts w:hint="eastAsia"/>
          <w:lang w:eastAsia="zh-HK"/>
        </w:rPr>
        <w:t>在二零二五年</w:t>
      </w:r>
      <w:r w:rsidRPr="00DA1255">
        <w:rPr>
          <w:rFonts w:hint="eastAsia"/>
        </w:rPr>
        <w:t>躍升</w:t>
      </w:r>
      <w:r w:rsidR="007C6C2A">
        <w:rPr>
          <w:lang w:val="en-GB"/>
        </w:rPr>
        <w:t>236.0%</w:t>
      </w:r>
      <w:r w:rsidRPr="00DA1255">
        <w:rPr>
          <w:rFonts w:hint="eastAsia"/>
          <w:lang w:eastAsia="zh-HK"/>
        </w:rPr>
        <w:t>至</w:t>
      </w:r>
      <w:r w:rsidR="00873E68">
        <w:rPr>
          <w:lang w:eastAsia="zh-HK"/>
        </w:rPr>
        <w:t> </w:t>
      </w:r>
      <w:r w:rsidRPr="00DA1255">
        <w:t>6</w:t>
      </w:r>
      <w:r w:rsidRPr="00DA1255">
        <w:rPr>
          <w:rFonts w:hint="eastAsia"/>
        </w:rPr>
        <w:t>,</w:t>
      </w:r>
      <w:r w:rsidR="007C6C2A">
        <w:t>459</w:t>
      </w:r>
      <w:r w:rsidRPr="00DA1255">
        <w:t> </w:t>
      </w:r>
      <w:r w:rsidRPr="00DA1255">
        <w:rPr>
          <w:rFonts w:hint="eastAsia"/>
          <w:lang w:eastAsia="zh-HK"/>
        </w:rPr>
        <w:t>億元。</w:t>
      </w:r>
      <w:r w:rsidRPr="00DA1255">
        <w:t>當中，經首次公開招股籌集的資金</w:t>
      </w:r>
      <w:r w:rsidRPr="00DA1255">
        <w:rPr>
          <w:rFonts w:hint="eastAsia"/>
          <w:lang w:val="en-GB"/>
        </w:rPr>
        <w:t>增加</w:t>
      </w:r>
      <w:r w:rsidR="00873E68">
        <w:t> </w:t>
      </w:r>
      <w:r w:rsidR="007C6C2A">
        <w:t>226.1</w:t>
      </w:r>
      <w:r w:rsidRPr="00DA1255">
        <w:rPr>
          <w:rFonts w:hint="eastAsia"/>
        </w:rPr>
        <w:t>%</w:t>
      </w:r>
      <w:r w:rsidRPr="00DA1255">
        <w:rPr>
          <w:rFonts w:hint="eastAsia"/>
          <w:lang w:eastAsia="zh-HK"/>
        </w:rPr>
        <w:t>至</w:t>
      </w:r>
      <w:r w:rsidRPr="00DA1255">
        <w:rPr>
          <w:rFonts w:hint="eastAsia"/>
        </w:rPr>
        <w:t>2,8</w:t>
      </w:r>
      <w:r w:rsidR="007C6C2A">
        <w:t>69</w:t>
      </w:r>
      <w:r w:rsidRPr="00DA1255">
        <w:t> </w:t>
      </w:r>
      <w:r w:rsidRPr="00DA1255">
        <w:rPr>
          <w:rFonts w:hint="eastAsia"/>
          <w:lang w:eastAsia="zh-HK"/>
        </w:rPr>
        <w:t>億元。</w:t>
      </w:r>
      <w:r w:rsidRPr="00DA1255">
        <w:t>以</w:t>
      </w:r>
      <w:r w:rsidRPr="00DA1255">
        <w:rPr>
          <w:rFonts w:hint="eastAsia"/>
        </w:rPr>
        <w:t>二零二五年經</w:t>
      </w:r>
      <w:r w:rsidRPr="00DA1255">
        <w:t>首次公開招股籌集所得的金額計算，香港</w:t>
      </w:r>
      <w:r w:rsidRPr="00DA1255">
        <w:rPr>
          <w:lang w:eastAsia="zh-HK"/>
        </w:rPr>
        <w:t>在</w:t>
      </w:r>
      <w:r w:rsidRPr="00DA1255">
        <w:rPr>
          <w:rFonts w:hint="eastAsia"/>
        </w:rPr>
        <w:t>全球證券交易市場中</w:t>
      </w:r>
      <w:r w:rsidRPr="00DA1255">
        <w:t>位</w:t>
      </w:r>
      <w:r w:rsidRPr="00DA1255">
        <w:rPr>
          <w:rFonts w:hint="eastAsia"/>
        </w:rPr>
        <w:t>列第</w:t>
      </w:r>
      <w:r w:rsidRPr="00DA1255">
        <w:rPr>
          <w:rFonts w:hint="eastAsia"/>
          <w:lang w:eastAsia="zh-HK"/>
        </w:rPr>
        <w:t>一</w:t>
      </w:r>
      <w:r w:rsidRPr="00DA1255">
        <w:rPr>
          <w:rFonts w:hint="eastAsia"/>
        </w:rPr>
        <w:t>。</w:t>
      </w:r>
    </w:p>
    <w:p w14:paraId="0E4C9184" w14:textId="2B4CC769" w:rsidR="002B6908" w:rsidRDefault="002B6908" w:rsidP="00F52745">
      <w:pPr>
        <w:rPr>
          <w:szCs w:val="24"/>
        </w:rPr>
      </w:pPr>
      <w:r w:rsidRPr="00A02D42">
        <w:rPr>
          <w:rFonts w:hint="eastAsia"/>
          <w:b/>
        </w:rPr>
        <w:t>1</w:t>
      </w:r>
      <w:r w:rsidRPr="00A02D42">
        <w:rPr>
          <w:b/>
        </w:rPr>
        <w:t>.</w:t>
      </w:r>
      <w:r>
        <w:rPr>
          <w:rFonts w:hint="eastAsia"/>
          <w:b/>
        </w:rPr>
        <w:t>1</w:t>
      </w:r>
      <w:r w:rsidR="0093046C">
        <w:rPr>
          <w:b/>
        </w:rPr>
        <w:t>0</w:t>
      </w:r>
      <w:r w:rsidRPr="00A02D42">
        <w:tab/>
      </w:r>
      <w:r w:rsidR="005E64D2" w:rsidRPr="008D6285">
        <w:rPr>
          <w:rFonts w:hint="eastAsia"/>
          <w:lang w:eastAsia="zh-HK"/>
        </w:rPr>
        <w:t>二零二五年</w:t>
      </w:r>
      <w:r w:rsidRPr="00AC52C9">
        <w:rPr>
          <w:rFonts w:hint="eastAsia"/>
          <w:i/>
          <w:lang w:eastAsia="zh-HK"/>
        </w:rPr>
        <w:t>住宅物業市場</w:t>
      </w:r>
      <w:r w:rsidRPr="008D6285">
        <w:rPr>
          <w:rFonts w:hint="eastAsia"/>
          <w:lang w:eastAsia="zh-HK"/>
        </w:rPr>
        <w:t>明顯</w:t>
      </w:r>
      <w:r w:rsidR="00631D2E" w:rsidRPr="00631D2E">
        <w:rPr>
          <w:rFonts w:hint="eastAsia"/>
          <w:szCs w:val="24"/>
        </w:rPr>
        <w:t>轉勢</w:t>
      </w:r>
      <w:r w:rsidRPr="008D6285">
        <w:rPr>
          <w:rFonts w:hint="eastAsia"/>
          <w:lang w:eastAsia="zh-HK"/>
        </w:rPr>
        <w:t>。</w:t>
      </w:r>
      <w:r w:rsidR="004D60E7" w:rsidRPr="004D60E7">
        <w:rPr>
          <w:rFonts w:hint="eastAsia"/>
          <w:lang w:eastAsia="zh-HK"/>
        </w:rPr>
        <w:t>樓市在第一季相對偏軟，但自第二季起開始企穩。在本地經濟增長蓬勃、本地金融市場表現強勁及美國啟動減息所帶動下，</w:t>
      </w:r>
      <w:r w:rsidR="00853323" w:rsidRPr="004D60E7">
        <w:rPr>
          <w:rFonts w:hint="eastAsia"/>
          <w:lang w:eastAsia="zh-HK"/>
        </w:rPr>
        <w:t>樓市</w:t>
      </w:r>
      <w:r w:rsidR="00853323">
        <w:rPr>
          <w:rFonts w:hint="eastAsia"/>
          <w:lang w:eastAsia="zh-HK"/>
        </w:rPr>
        <w:t>的</w:t>
      </w:r>
      <w:r w:rsidR="004D60E7" w:rsidRPr="004D60E7">
        <w:rPr>
          <w:rFonts w:hint="eastAsia"/>
          <w:lang w:eastAsia="zh-HK"/>
        </w:rPr>
        <w:t>反彈動力</w:t>
      </w:r>
      <w:r w:rsidR="00853323">
        <w:rPr>
          <w:rFonts w:hint="eastAsia"/>
          <w:lang w:eastAsia="zh-HK"/>
        </w:rPr>
        <w:t>在</w:t>
      </w:r>
      <w:r w:rsidR="00853323" w:rsidRPr="004D60E7">
        <w:rPr>
          <w:rFonts w:hint="eastAsia"/>
          <w:lang w:eastAsia="zh-HK"/>
        </w:rPr>
        <w:t>隨後</w:t>
      </w:r>
      <w:r w:rsidR="00853323">
        <w:rPr>
          <w:rFonts w:hint="eastAsia"/>
          <w:lang w:eastAsia="zh-HK"/>
        </w:rPr>
        <w:t>的</w:t>
      </w:r>
      <w:r w:rsidR="00853323" w:rsidRPr="004D60E7">
        <w:rPr>
          <w:rFonts w:hint="eastAsia"/>
          <w:lang w:eastAsia="zh-HK"/>
        </w:rPr>
        <w:t>季度</w:t>
      </w:r>
      <w:r w:rsidR="004D60E7" w:rsidRPr="004D60E7">
        <w:rPr>
          <w:rFonts w:hint="eastAsia"/>
          <w:lang w:eastAsia="zh-HK"/>
        </w:rPr>
        <w:t>開始顯著增強。</w:t>
      </w:r>
      <w:r w:rsidR="00045CC2">
        <w:rPr>
          <w:rFonts w:hint="eastAsia"/>
          <w:lang w:eastAsia="zh-HK"/>
        </w:rPr>
        <w:t>交投量方面，</w:t>
      </w:r>
      <w:r w:rsidR="00F52745">
        <w:rPr>
          <w:rFonts w:hint="eastAsia"/>
          <w:lang w:eastAsia="zh-HK"/>
        </w:rPr>
        <w:t>二零二五年全年合計，送交土地註冊處註冊的住宅物業買賣合約總數較</w:t>
      </w:r>
      <w:r w:rsidR="004D60E7" w:rsidRPr="004D60E7">
        <w:rPr>
          <w:rFonts w:hint="eastAsia"/>
          <w:lang w:eastAsia="zh-HK"/>
        </w:rPr>
        <w:t>一年前</w:t>
      </w:r>
      <w:r w:rsidR="00F52745">
        <w:rPr>
          <w:rFonts w:hint="eastAsia"/>
          <w:lang w:eastAsia="zh-HK"/>
        </w:rPr>
        <w:t>進一步增加</w:t>
      </w:r>
      <w:r w:rsidR="004D60E7">
        <w:rPr>
          <w:lang w:eastAsia="zh-HK"/>
        </w:rPr>
        <w:t> </w:t>
      </w:r>
      <w:r w:rsidR="00F52745">
        <w:rPr>
          <w:rFonts w:hint="eastAsia"/>
          <w:lang w:eastAsia="zh-HK"/>
        </w:rPr>
        <w:t>18%</w:t>
      </w:r>
      <w:r w:rsidR="00F52745">
        <w:rPr>
          <w:rFonts w:hint="eastAsia"/>
          <w:lang w:eastAsia="zh-HK"/>
        </w:rPr>
        <w:t>至</w:t>
      </w:r>
      <w:r w:rsidR="00F52745">
        <w:rPr>
          <w:rFonts w:hint="eastAsia"/>
          <w:lang w:eastAsia="zh-HK"/>
        </w:rPr>
        <w:t>62</w:t>
      </w:r>
      <w:r w:rsidR="00F52745">
        <w:rPr>
          <w:lang w:eastAsia="zh-HK"/>
        </w:rPr>
        <w:t> </w:t>
      </w:r>
      <w:r w:rsidR="00F52745">
        <w:rPr>
          <w:rFonts w:hint="eastAsia"/>
          <w:lang w:eastAsia="zh-HK"/>
        </w:rPr>
        <w:t>832</w:t>
      </w:r>
      <w:r w:rsidR="00F52745">
        <w:rPr>
          <w:rFonts w:hint="eastAsia"/>
          <w:lang w:eastAsia="zh-HK"/>
        </w:rPr>
        <w:t>份</w:t>
      </w:r>
      <w:r w:rsidR="004D60E7" w:rsidRPr="004D60E7">
        <w:rPr>
          <w:rFonts w:hint="eastAsia"/>
          <w:lang w:eastAsia="zh-HK"/>
        </w:rPr>
        <w:t>的四年高位</w:t>
      </w:r>
      <w:r>
        <w:rPr>
          <w:rFonts w:hint="eastAsia"/>
          <w:lang w:val="en-GB" w:eastAsia="zh-HK"/>
        </w:rPr>
        <w:t>。</w:t>
      </w:r>
      <w:r w:rsidRPr="00870667">
        <w:rPr>
          <w:rFonts w:hint="eastAsia"/>
          <w:lang w:val="en-GB" w:eastAsia="zh-HK"/>
        </w:rPr>
        <w:t>整體住宅</w:t>
      </w:r>
      <w:r w:rsidR="00BB6319" w:rsidRPr="00BB6319">
        <w:rPr>
          <w:rFonts w:hint="eastAsia"/>
          <w:lang w:eastAsia="zh-HK"/>
        </w:rPr>
        <w:t>物業</w:t>
      </w:r>
      <w:r w:rsidRPr="00870667">
        <w:rPr>
          <w:rFonts w:hint="eastAsia"/>
          <w:lang w:val="en-GB" w:eastAsia="zh-HK"/>
        </w:rPr>
        <w:t>售價</w:t>
      </w:r>
      <w:r w:rsidR="004D60E7" w:rsidRPr="004D60E7">
        <w:rPr>
          <w:rFonts w:hint="eastAsia"/>
          <w:lang w:val="en-GB" w:eastAsia="zh-HK"/>
        </w:rPr>
        <w:t>扭轉連續三年的跌勢</w:t>
      </w:r>
      <w:r w:rsidR="004D60E7">
        <w:rPr>
          <w:rFonts w:hint="eastAsia"/>
          <w:lang w:val="en-GB" w:eastAsia="zh-HK"/>
        </w:rPr>
        <w:t>，</w:t>
      </w:r>
      <w:r w:rsidR="004D60E7" w:rsidRPr="004D60E7">
        <w:rPr>
          <w:rFonts w:hint="eastAsia"/>
          <w:lang w:val="en-GB" w:eastAsia="zh-HK"/>
        </w:rPr>
        <w:t>錄得</w:t>
      </w:r>
      <w:r w:rsidR="00030DEC">
        <w:rPr>
          <w:lang w:eastAsia="zh-HK"/>
        </w:rPr>
        <w:t> </w:t>
      </w:r>
      <w:r w:rsidR="004D60E7">
        <w:rPr>
          <w:rFonts w:hint="eastAsia"/>
          <w:lang w:val="en-GB" w:eastAsia="zh-HK"/>
        </w:rPr>
        <w:t>3%</w:t>
      </w:r>
      <w:r w:rsidR="004D60E7">
        <w:rPr>
          <w:rFonts w:hint="eastAsia"/>
          <w:lang w:val="en-GB" w:eastAsia="zh-HK"/>
        </w:rPr>
        <w:t>的溫和</w:t>
      </w:r>
      <w:r w:rsidR="004D60E7" w:rsidRPr="004D60E7">
        <w:rPr>
          <w:rFonts w:hint="eastAsia"/>
          <w:lang w:val="en-GB" w:eastAsia="zh-HK"/>
        </w:rPr>
        <w:t>升幅</w:t>
      </w:r>
      <w:r w:rsidRPr="00870667">
        <w:rPr>
          <w:rFonts w:hint="eastAsia"/>
          <w:lang w:val="en-GB" w:eastAsia="zh-HK"/>
        </w:rPr>
        <w:t>。</w:t>
      </w:r>
      <w:r w:rsidRPr="00520EC1">
        <w:rPr>
          <w:rFonts w:hint="eastAsia"/>
          <w:lang w:val="en-GB" w:eastAsia="zh-HK"/>
        </w:rPr>
        <w:t>隨着住宅</w:t>
      </w:r>
      <w:r w:rsidR="00BB6319" w:rsidRPr="00BB6319">
        <w:rPr>
          <w:rFonts w:hint="eastAsia"/>
          <w:lang w:eastAsia="zh-HK"/>
        </w:rPr>
        <w:t>物業</w:t>
      </w:r>
      <w:r w:rsidRPr="00520EC1">
        <w:rPr>
          <w:rFonts w:hint="eastAsia"/>
          <w:lang w:val="en-GB" w:eastAsia="zh-HK"/>
        </w:rPr>
        <w:t>售價進一步上</w:t>
      </w:r>
      <w:r w:rsidR="00BB6319">
        <w:rPr>
          <w:rFonts w:hint="eastAsia"/>
          <w:lang w:val="en-GB" w:eastAsia="zh-HK"/>
        </w:rPr>
        <w:t>揚</w:t>
      </w:r>
      <w:r w:rsidRPr="00520EC1">
        <w:rPr>
          <w:rFonts w:hint="eastAsia"/>
          <w:lang w:val="en-GB" w:eastAsia="zh-HK"/>
        </w:rPr>
        <w:t>，置業負擔指數在第四季升至約</w:t>
      </w:r>
      <w:r w:rsidR="00873E68">
        <w:rPr>
          <w:lang w:eastAsia="zh-HK"/>
        </w:rPr>
        <w:t> </w:t>
      </w:r>
      <w:r w:rsidRPr="00520EC1">
        <w:rPr>
          <w:rFonts w:hint="eastAsia"/>
          <w:lang w:val="en-GB" w:eastAsia="zh-HK"/>
        </w:rPr>
        <w:t>59%</w:t>
      </w:r>
      <w:r w:rsidRPr="00520EC1">
        <w:rPr>
          <w:rFonts w:hint="eastAsia"/>
          <w:lang w:val="en-GB" w:eastAsia="zh-HK"/>
        </w:rPr>
        <w:t>，高於二零零五至二零二四年期間的長期平均數</w:t>
      </w:r>
      <w:r>
        <w:rPr>
          <w:rFonts w:hint="eastAsia"/>
          <w:lang w:val="en-GB" w:eastAsia="zh-HK"/>
        </w:rPr>
        <w:t>。</w:t>
      </w:r>
      <w:r w:rsidRPr="00700BA6">
        <w:rPr>
          <w:rFonts w:hint="eastAsia"/>
          <w:lang w:val="en-GB" w:eastAsia="zh-HK"/>
        </w:rPr>
        <w:t>整體</w:t>
      </w:r>
      <w:r>
        <w:rPr>
          <w:rFonts w:hint="eastAsia"/>
          <w:lang w:val="en-GB" w:eastAsia="zh-HK"/>
        </w:rPr>
        <w:t>住</w:t>
      </w:r>
      <w:r>
        <w:rPr>
          <w:rFonts w:hint="eastAsia"/>
          <w:lang w:val="en-GB"/>
        </w:rPr>
        <w:t>宅</w:t>
      </w:r>
      <w:r w:rsidR="00BB6319" w:rsidRPr="00BB6319">
        <w:rPr>
          <w:rFonts w:hint="eastAsia"/>
          <w:lang w:val="en-GB"/>
        </w:rPr>
        <w:t>物業</w:t>
      </w:r>
      <w:r w:rsidRPr="00700BA6">
        <w:rPr>
          <w:rFonts w:hint="eastAsia"/>
          <w:lang w:val="en-GB" w:eastAsia="zh-HK"/>
        </w:rPr>
        <w:t>租金在二零二五年全年</w:t>
      </w:r>
      <w:r w:rsidR="00BB6319" w:rsidRPr="00700BA6">
        <w:rPr>
          <w:rFonts w:hint="eastAsia"/>
          <w:lang w:val="en-GB" w:eastAsia="zh-HK"/>
        </w:rPr>
        <w:t>表現</w:t>
      </w:r>
      <w:r w:rsidRPr="00700BA6">
        <w:rPr>
          <w:rFonts w:hint="eastAsia"/>
          <w:lang w:val="en-GB" w:eastAsia="zh-HK"/>
        </w:rPr>
        <w:t>維持</w:t>
      </w:r>
      <w:r w:rsidR="00BB6319">
        <w:rPr>
          <w:rFonts w:hint="eastAsia"/>
          <w:lang w:val="en-GB" w:eastAsia="zh-HK"/>
        </w:rPr>
        <w:t>堅挺</w:t>
      </w:r>
      <w:r w:rsidRPr="00700BA6">
        <w:rPr>
          <w:rFonts w:hint="eastAsia"/>
          <w:lang w:val="en-GB" w:eastAsia="zh-HK"/>
        </w:rPr>
        <w:t>，年內進一步上升</w:t>
      </w:r>
      <w:r w:rsidRPr="00700BA6">
        <w:rPr>
          <w:rFonts w:hint="eastAsia"/>
          <w:lang w:val="en-GB" w:eastAsia="zh-HK"/>
        </w:rPr>
        <w:t>4%</w:t>
      </w:r>
      <w:r w:rsidRPr="00700BA6">
        <w:rPr>
          <w:rFonts w:hint="eastAsia"/>
          <w:lang w:val="en-GB" w:eastAsia="zh-HK"/>
        </w:rPr>
        <w:t>，</w:t>
      </w:r>
      <w:r w:rsidR="009146C4" w:rsidRPr="009146C4">
        <w:rPr>
          <w:rFonts w:hint="eastAsia"/>
          <w:lang w:val="en-GB" w:eastAsia="zh-HK"/>
        </w:rPr>
        <w:t>帶動整體住宅物業租金指數</w:t>
      </w:r>
      <w:r w:rsidRPr="00700BA6">
        <w:rPr>
          <w:rFonts w:hint="eastAsia"/>
          <w:lang w:val="en-GB" w:eastAsia="zh-HK"/>
        </w:rPr>
        <w:t>超越二零一九年的高位。</w:t>
      </w:r>
      <w:r w:rsidR="005E64D2" w:rsidRPr="004939FC">
        <w:rPr>
          <w:rFonts w:hint="eastAsia"/>
          <w:szCs w:val="24"/>
        </w:rPr>
        <w:t>二零二五年</w:t>
      </w:r>
      <w:r w:rsidRPr="004939FC">
        <w:rPr>
          <w:rFonts w:hint="eastAsia"/>
          <w:i/>
          <w:szCs w:val="24"/>
        </w:rPr>
        <w:t>非住宅物業市場</w:t>
      </w:r>
      <w:r w:rsidR="00BB6319" w:rsidRPr="00BB6319">
        <w:rPr>
          <w:rFonts w:hint="eastAsia"/>
          <w:szCs w:val="24"/>
        </w:rPr>
        <w:t>仍然相對疲弱</w:t>
      </w:r>
      <w:r>
        <w:rPr>
          <w:rFonts w:hint="eastAsia"/>
          <w:szCs w:val="24"/>
        </w:rPr>
        <w:t>。</w:t>
      </w:r>
      <w:r w:rsidR="00BB6319" w:rsidRPr="00BB6319">
        <w:rPr>
          <w:rFonts w:hint="eastAsia"/>
          <w:szCs w:val="24"/>
        </w:rPr>
        <w:t>所有</w:t>
      </w:r>
      <w:r w:rsidRPr="004939FC">
        <w:rPr>
          <w:rFonts w:hint="eastAsia"/>
          <w:szCs w:val="24"/>
        </w:rPr>
        <w:t>主要市場環節的售價和租金</w:t>
      </w:r>
      <w:r w:rsidR="00BB6319" w:rsidRPr="00BB6319">
        <w:rPr>
          <w:rFonts w:hint="eastAsia"/>
          <w:szCs w:val="24"/>
        </w:rPr>
        <w:t>仍然偏軟</w:t>
      </w:r>
      <w:r w:rsidRPr="004939FC">
        <w:rPr>
          <w:rFonts w:hint="eastAsia"/>
          <w:szCs w:val="24"/>
        </w:rPr>
        <w:t>，</w:t>
      </w:r>
      <w:r w:rsidR="00BB6319">
        <w:rPr>
          <w:rFonts w:hint="eastAsia"/>
          <w:szCs w:val="24"/>
        </w:rPr>
        <w:t>但</w:t>
      </w:r>
      <w:r w:rsidRPr="004939FC">
        <w:rPr>
          <w:rFonts w:hint="eastAsia"/>
          <w:szCs w:val="24"/>
        </w:rPr>
        <w:t>交</w:t>
      </w:r>
      <w:r w:rsidRPr="004939FC">
        <w:rPr>
          <w:rFonts w:hint="eastAsia"/>
          <w:szCs w:val="24"/>
          <w:lang w:eastAsia="zh-HK"/>
        </w:rPr>
        <w:t>投</w:t>
      </w:r>
      <w:r w:rsidRPr="004939FC">
        <w:rPr>
          <w:rFonts w:hint="eastAsia"/>
          <w:szCs w:val="24"/>
        </w:rPr>
        <w:t>活動明顯</w:t>
      </w:r>
      <w:r w:rsidRPr="004939FC">
        <w:rPr>
          <w:rFonts w:hint="eastAsia"/>
          <w:szCs w:val="24"/>
          <w:lang w:eastAsia="zh-HK"/>
        </w:rPr>
        <w:t>增加</w:t>
      </w:r>
      <w:r w:rsidRPr="004939FC">
        <w:rPr>
          <w:rFonts w:hint="eastAsia"/>
          <w:szCs w:val="24"/>
        </w:rPr>
        <w:t>。</w:t>
      </w:r>
    </w:p>
    <w:p w14:paraId="0BA8C137" w14:textId="77777777" w:rsidR="00756746" w:rsidRDefault="00756746" w:rsidP="00756746">
      <w:pPr>
        <w:pStyle w:val="120"/>
      </w:pPr>
      <w:r>
        <w:br w:type="page"/>
      </w:r>
    </w:p>
    <w:p w14:paraId="0AADB1C9" w14:textId="551116E9" w:rsidR="00756746" w:rsidRPr="00FD4950" w:rsidRDefault="00756746" w:rsidP="00FD4950">
      <w:pPr>
        <w:pStyle w:val="120"/>
      </w:pPr>
      <w:r w:rsidRPr="00FD4950">
        <w:rPr>
          <w:rFonts w:hint="eastAsia"/>
        </w:rPr>
        <w:lastRenderedPageBreak/>
        <w:t>通脹</w:t>
      </w:r>
    </w:p>
    <w:p w14:paraId="246EA944" w14:textId="041FC3DC" w:rsidR="003C01BE" w:rsidRDefault="002B6908" w:rsidP="0093046C">
      <w:r w:rsidRPr="00643D21">
        <w:rPr>
          <w:rFonts w:hint="eastAsia"/>
          <w:b/>
        </w:rPr>
        <w:t>1.</w:t>
      </w:r>
      <w:r>
        <w:rPr>
          <w:b/>
        </w:rPr>
        <w:t>1</w:t>
      </w:r>
      <w:r w:rsidRPr="00643D21">
        <w:rPr>
          <w:rFonts w:hint="eastAsia"/>
          <w:b/>
        </w:rPr>
        <w:t>1</w:t>
      </w:r>
      <w:r w:rsidRPr="00643D21">
        <w:rPr>
          <w:lang w:eastAsia="zh-HK"/>
        </w:rPr>
        <w:tab/>
      </w:r>
      <w:r>
        <w:rPr>
          <w:rFonts w:hint="eastAsia"/>
        </w:rPr>
        <w:t>消費物價通脹</w:t>
      </w:r>
      <w:r w:rsidR="00846A35">
        <w:rPr>
          <w:rFonts w:hint="eastAsia"/>
          <w:lang w:eastAsia="zh-HK"/>
        </w:rPr>
        <w:t>在</w:t>
      </w:r>
      <w:r w:rsidR="00846A35">
        <w:rPr>
          <w:rFonts w:hint="eastAsia"/>
        </w:rPr>
        <w:t>二零二五年</w:t>
      </w:r>
      <w:r w:rsidR="00846A35">
        <w:rPr>
          <w:rFonts w:hint="eastAsia"/>
          <w:lang w:eastAsia="zh-HK"/>
        </w:rPr>
        <w:t>全年保</w:t>
      </w:r>
      <w:r>
        <w:rPr>
          <w:rFonts w:hint="eastAsia"/>
        </w:rPr>
        <w:t>持輕微。</w:t>
      </w:r>
      <w:r w:rsidR="00B360D5" w:rsidRPr="00B360D5">
        <w:rPr>
          <w:rFonts w:hint="eastAsia"/>
        </w:rPr>
        <w:t>由於本地及外圍成本壓力維持</w:t>
      </w:r>
      <w:r w:rsidR="00853323">
        <w:rPr>
          <w:rFonts w:hint="eastAsia"/>
        </w:rPr>
        <w:t>溫和</w:t>
      </w:r>
      <w:r w:rsidR="00B360D5" w:rsidRPr="00B360D5">
        <w:rPr>
          <w:rFonts w:hint="eastAsia"/>
        </w:rPr>
        <w:t>，</w:t>
      </w:r>
      <w:r w:rsidR="00F00D18">
        <w:rPr>
          <w:rFonts w:hint="eastAsia"/>
        </w:rPr>
        <w:t>而</w:t>
      </w:r>
      <w:r w:rsidR="00853323" w:rsidRPr="00B360D5">
        <w:rPr>
          <w:rFonts w:hint="eastAsia"/>
        </w:rPr>
        <w:t>企業</w:t>
      </w:r>
      <w:r w:rsidR="00853323">
        <w:rPr>
          <w:rFonts w:hint="eastAsia"/>
        </w:rPr>
        <w:t>因應</w:t>
      </w:r>
      <w:r w:rsidR="00B360D5" w:rsidRPr="00B360D5">
        <w:rPr>
          <w:rFonts w:hint="eastAsia"/>
        </w:rPr>
        <w:t>本地消費處於復蘇初期，普遍對提價</w:t>
      </w:r>
      <w:r w:rsidR="00853323">
        <w:rPr>
          <w:rFonts w:hint="eastAsia"/>
        </w:rPr>
        <w:t>依然</w:t>
      </w:r>
      <w:r w:rsidR="00B360D5" w:rsidRPr="00B360D5">
        <w:rPr>
          <w:rFonts w:hint="eastAsia"/>
        </w:rPr>
        <w:t>持謹慎態度，因此主要組成項目的價格壓力大致偏軟。</w:t>
      </w:r>
      <w:r w:rsidRPr="00C8446B">
        <w:rPr>
          <w:rFonts w:hint="eastAsia"/>
        </w:rPr>
        <w:t>撇除政府一次性紓緩措施的效應，</w:t>
      </w:r>
      <w:r w:rsidRPr="00FD4950">
        <w:rPr>
          <w:rFonts w:hint="eastAsia"/>
          <w:i/>
        </w:rPr>
        <w:t>基本綜合消費物價指數</w:t>
      </w:r>
      <w:r w:rsidR="00B360D5">
        <w:rPr>
          <w:rFonts w:hint="eastAsia"/>
        </w:rPr>
        <w:t>在</w:t>
      </w:r>
      <w:r w:rsidR="00B360D5" w:rsidRPr="00C8446B">
        <w:rPr>
          <w:rFonts w:hint="eastAsia"/>
        </w:rPr>
        <w:t>二零二</w:t>
      </w:r>
      <w:r w:rsidR="00B360D5">
        <w:rPr>
          <w:rFonts w:hint="eastAsia"/>
        </w:rPr>
        <w:t>五</w:t>
      </w:r>
      <w:r w:rsidR="00B360D5" w:rsidRPr="00C8446B">
        <w:rPr>
          <w:rFonts w:hint="eastAsia"/>
        </w:rPr>
        <w:t>年</w:t>
      </w:r>
      <w:r>
        <w:rPr>
          <w:rFonts w:hint="eastAsia"/>
        </w:rPr>
        <w:t>上升</w:t>
      </w:r>
      <w:r w:rsidRPr="00C8446B">
        <w:rPr>
          <w:rFonts w:hint="eastAsia"/>
        </w:rPr>
        <w:t>1.1%</w:t>
      </w:r>
      <w:r w:rsidRPr="00C8446B">
        <w:rPr>
          <w:rFonts w:hint="eastAsia"/>
        </w:rPr>
        <w:t>，</w:t>
      </w:r>
      <w:r>
        <w:rPr>
          <w:rFonts w:hint="eastAsia"/>
        </w:rPr>
        <w:t>與二零二四年相同</w:t>
      </w:r>
      <w:r w:rsidRPr="00C8446B">
        <w:rPr>
          <w:rFonts w:hint="eastAsia"/>
        </w:rPr>
        <w:t>，季度數字</w:t>
      </w:r>
      <w:r w:rsidR="00E92CB1">
        <w:rPr>
          <w:rFonts w:hint="eastAsia"/>
          <w:lang w:eastAsia="zh-HK"/>
        </w:rPr>
        <w:t>則</w:t>
      </w:r>
      <w:r w:rsidRPr="00C8446B">
        <w:rPr>
          <w:rFonts w:hint="eastAsia"/>
        </w:rPr>
        <w:t>在</w:t>
      </w:r>
      <w:r w:rsidR="003C01BE">
        <w:t> </w:t>
      </w:r>
      <w:r w:rsidRPr="00C8446B">
        <w:rPr>
          <w:rFonts w:hint="eastAsia"/>
        </w:rPr>
        <w:t>1.0%</w:t>
      </w:r>
      <w:r w:rsidRPr="00C8446B">
        <w:rPr>
          <w:rFonts w:hint="eastAsia"/>
        </w:rPr>
        <w:t>至</w:t>
      </w:r>
      <w:r w:rsidR="003C01BE">
        <w:t> </w:t>
      </w:r>
      <w:r w:rsidRPr="00C8446B">
        <w:rPr>
          <w:rFonts w:hint="eastAsia"/>
        </w:rPr>
        <w:t>1.2%</w:t>
      </w:r>
      <w:r w:rsidRPr="00C8446B">
        <w:rPr>
          <w:rFonts w:hint="eastAsia"/>
          <w:lang w:eastAsia="zh-HK"/>
        </w:rPr>
        <w:t>之</w:t>
      </w:r>
      <w:r w:rsidRPr="00C8446B">
        <w:rPr>
          <w:rFonts w:hint="eastAsia"/>
        </w:rPr>
        <w:t>間窄幅上落</w:t>
      </w:r>
      <w:r>
        <w:rPr>
          <w:rFonts w:hint="eastAsia"/>
        </w:rPr>
        <w:t>。</w:t>
      </w:r>
      <w:r w:rsidR="00A66801">
        <w:rPr>
          <w:rFonts w:hint="eastAsia"/>
          <w:lang w:eastAsia="zh-HK"/>
        </w:rPr>
        <w:t>與此</w:t>
      </w:r>
      <w:r w:rsidRPr="004E74D8">
        <w:rPr>
          <w:rFonts w:hint="eastAsia"/>
        </w:rPr>
        <w:t>同時，</w:t>
      </w:r>
      <w:r w:rsidRPr="00FD4950">
        <w:rPr>
          <w:rFonts w:hint="eastAsia"/>
          <w:i/>
        </w:rPr>
        <w:t>整體綜合消費物價指數</w:t>
      </w:r>
      <w:r w:rsidR="00B360D5">
        <w:rPr>
          <w:rFonts w:hint="eastAsia"/>
        </w:rPr>
        <w:t>在</w:t>
      </w:r>
      <w:r w:rsidR="00B360D5" w:rsidRPr="00C8446B">
        <w:rPr>
          <w:rFonts w:hint="eastAsia"/>
        </w:rPr>
        <w:t>二零二</w:t>
      </w:r>
      <w:r w:rsidR="00B360D5">
        <w:rPr>
          <w:rFonts w:hint="eastAsia"/>
        </w:rPr>
        <w:t>五</w:t>
      </w:r>
      <w:r w:rsidR="00B360D5" w:rsidRPr="00C8446B">
        <w:rPr>
          <w:rFonts w:hint="eastAsia"/>
        </w:rPr>
        <w:t>年</w:t>
      </w:r>
      <w:r>
        <w:rPr>
          <w:rFonts w:hint="eastAsia"/>
        </w:rPr>
        <w:t>上升</w:t>
      </w:r>
      <w:r w:rsidRPr="004E74D8">
        <w:rPr>
          <w:rFonts w:hint="eastAsia"/>
        </w:rPr>
        <w:t>1.</w:t>
      </w:r>
      <w:r>
        <w:rPr>
          <w:rFonts w:hint="eastAsia"/>
        </w:rPr>
        <w:t>4</w:t>
      </w:r>
      <w:r w:rsidRPr="004E74D8">
        <w:rPr>
          <w:rFonts w:hint="eastAsia"/>
        </w:rPr>
        <w:t>%</w:t>
      </w:r>
      <w:r w:rsidRPr="004E74D8">
        <w:rPr>
          <w:rFonts w:hint="eastAsia"/>
        </w:rPr>
        <w:t>，</w:t>
      </w:r>
      <w:r w:rsidR="00A66801">
        <w:rPr>
          <w:rFonts w:hint="eastAsia"/>
          <w:lang w:eastAsia="zh-HK"/>
        </w:rPr>
        <w:t>而</w:t>
      </w:r>
      <w:r w:rsidRPr="004E74D8">
        <w:rPr>
          <w:rFonts w:hint="eastAsia"/>
        </w:rPr>
        <w:t>二零二</w:t>
      </w:r>
      <w:r>
        <w:rPr>
          <w:rFonts w:hint="eastAsia"/>
        </w:rPr>
        <w:t>四</w:t>
      </w:r>
      <w:r w:rsidRPr="004E74D8">
        <w:rPr>
          <w:rFonts w:hint="eastAsia"/>
        </w:rPr>
        <w:t>年</w:t>
      </w:r>
      <w:r>
        <w:rPr>
          <w:rFonts w:hint="eastAsia"/>
        </w:rPr>
        <w:t>上升</w:t>
      </w:r>
      <w:r>
        <w:rPr>
          <w:rFonts w:hint="eastAsia"/>
        </w:rPr>
        <w:t>1.7%</w:t>
      </w:r>
      <w:r>
        <w:rPr>
          <w:rFonts w:hint="eastAsia"/>
        </w:rPr>
        <w:t>。</w:t>
      </w:r>
      <w:r w:rsidRPr="004E74D8">
        <w:rPr>
          <w:rFonts w:hint="eastAsia"/>
          <w:lang w:eastAsia="zh-HK"/>
        </w:rPr>
        <w:t>整體通脹率</w:t>
      </w:r>
      <w:r w:rsidR="00B360D5">
        <w:rPr>
          <w:rFonts w:hint="eastAsia"/>
        </w:rPr>
        <w:t>在</w:t>
      </w:r>
      <w:r w:rsidR="00B360D5" w:rsidRPr="00C8446B">
        <w:rPr>
          <w:rFonts w:hint="eastAsia"/>
        </w:rPr>
        <w:t>二零二</w:t>
      </w:r>
      <w:r w:rsidR="00B360D5">
        <w:rPr>
          <w:rFonts w:hint="eastAsia"/>
        </w:rPr>
        <w:t>五</w:t>
      </w:r>
      <w:r w:rsidR="00B360D5" w:rsidRPr="00C8446B">
        <w:rPr>
          <w:rFonts w:hint="eastAsia"/>
        </w:rPr>
        <w:t>年</w:t>
      </w:r>
      <w:r>
        <w:rPr>
          <w:rFonts w:hint="eastAsia"/>
        </w:rPr>
        <w:t>略</w:t>
      </w:r>
      <w:r w:rsidRPr="004E74D8">
        <w:rPr>
          <w:rFonts w:hint="eastAsia"/>
          <w:lang w:eastAsia="zh-HK"/>
        </w:rPr>
        <w:t>高於</w:t>
      </w:r>
      <w:r w:rsidRPr="00A5714D">
        <w:rPr>
          <w:rFonts w:hint="eastAsia"/>
          <w:lang w:eastAsia="zh-HK"/>
        </w:rPr>
        <w:t>基本通脹率</w:t>
      </w:r>
      <w:r w:rsidRPr="004E74D8">
        <w:rPr>
          <w:rFonts w:hint="eastAsia"/>
          <w:lang w:eastAsia="zh-HK"/>
        </w:rPr>
        <w:t>，主要是由於</w:t>
      </w:r>
      <w:r w:rsidR="00876E13" w:rsidRPr="00876E13">
        <w:rPr>
          <w:rFonts w:hint="eastAsia"/>
          <w:lang w:eastAsia="zh-HK"/>
        </w:rPr>
        <w:t>政府提供的</w:t>
      </w:r>
      <w:r w:rsidRPr="004E74D8">
        <w:rPr>
          <w:rFonts w:hint="eastAsia"/>
          <w:lang w:eastAsia="zh-HK"/>
        </w:rPr>
        <w:t>電費補貼</w:t>
      </w:r>
      <w:r>
        <w:rPr>
          <w:rFonts w:hint="eastAsia"/>
        </w:rPr>
        <w:t>較前一年少，</w:t>
      </w:r>
      <w:r w:rsidRPr="004E74D8">
        <w:rPr>
          <w:rFonts w:hint="eastAsia"/>
          <w:lang w:eastAsia="zh-HK"/>
        </w:rPr>
        <w:t>差餉寬減</w:t>
      </w:r>
      <w:r w:rsidR="00B360D5" w:rsidRPr="00B360D5">
        <w:rPr>
          <w:rFonts w:hint="eastAsia"/>
          <w:lang w:eastAsia="zh-HK"/>
        </w:rPr>
        <w:t>的幅度</w:t>
      </w:r>
      <w:r>
        <w:rPr>
          <w:rFonts w:hint="eastAsia"/>
        </w:rPr>
        <w:t>亦有所下降。</w:t>
      </w:r>
    </w:p>
    <w:p w14:paraId="7E197670" w14:textId="35419BB9" w:rsidR="009F53C7" w:rsidRDefault="002B6908" w:rsidP="00FD4950">
      <w:r w:rsidRPr="00A5714D">
        <w:rPr>
          <w:rFonts w:hint="eastAsia"/>
          <w:b/>
        </w:rPr>
        <w:t>1.12</w:t>
      </w:r>
      <w:r>
        <w:tab/>
      </w:r>
      <w:r w:rsidRPr="00A5714D">
        <w:rPr>
          <w:rFonts w:hint="eastAsia"/>
        </w:rPr>
        <w:t>作為量度經濟體系內整體價格變動的概括指標</w:t>
      </w:r>
      <w:r>
        <w:rPr>
          <w:rFonts w:hint="eastAsia"/>
        </w:rPr>
        <w:t>，</w:t>
      </w:r>
      <w:r w:rsidRPr="00FD4950">
        <w:rPr>
          <w:rFonts w:hint="eastAsia"/>
          <w:i/>
        </w:rPr>
        <w:t>本地生產總值平減物價指數</w:t>
      </w:r>
      <w:r>
        <w:rPr>
          <w:rFonts w:hint="eastAsia"/>
        </w:rPr>
        <w:t>的升幅由二零二四年的</w:t>
      </w:r>
      <w:r>
        <w:rPr>
          <w:rFonts w:hint="eastAsia"/>
        </w:rPr>
        <w:t>4.2%</w:t>
      </w:r>
      <w:r>
        <w:rPr>
          <w:rFonts w:hint="eastAsia"/>
        </w:rPr>
        <w:t>減慢至</w:t>
      </w:r>
      <w:r w:rsidR="001F2EEC" w:rsidRPr="00C8446B">
        <w:rPr>
          <w:rFonts w:hint="eastAsia"/>
        </w:rPr>
        <w:t>二零二</w:t>
      </w:r>
      <w:r w:rsidR="001F2EEC">
        <w:rPr>
          <w:rFonts w:hint="eastAsia"/>
        </w:rPr>
        <w:t>五</w:t>
      </w:r>
      <w:r w:rsidR="001F2EEC" w:rsidRPr="00C8446B">
        <w:rPr>
          <w:rFonts w:hint="eastAsia"/>
        </w:rPr>
        <w:t>年</w:t>
      </w:r>
      <w:r w:rsidR="001F2EEC">
        <w:rPr>
          <w:rFonts w:hint="eastAsia"/>
        </w:rPr>
        <w:t>的</w:t>
      </w:r>
      <w:r w:rsidR="006B3C6E">
        <w:rPr>
          <w:lang w:val="en-GB"/>
        </w:rPr>
        <w:t>1.0%</w:t>
      </w:r>
      <w:r>
        <w:rPr>
          <w:rFonts w:hint="eastAsia"/>
        </w:rPr>
        <w:t>。</w:t>
      </w:r>
      <w:r w:rsidRPr="00FD4950">
        <w:rPr>
          <w:rFonts w:hint="eastAsia"/>
          <w:i/>
        </w:rPr>
        <w:t>貿易價格比率</w:t>
      </w:r>
      <w:r>
        <w:rPr>
          <w:rFonts w:hint="eastAsia"/>
        </w:rPr>
        <w:t>繼前一年上升</w:t>
      </w:r>
      <w:r w:rsidR="00873E68">
        <w:t> </w:t>
      </w:r>
      <w:r>
        <w:rPr>
          <w:rFonts w:hint="eastAsia"/>
        </w:rPr>
        <w:t>0.7%</w:t>
      </w:r>
      <w:r>
        <w:rPr>
          <w:rFonts w:hint="eastAsia"/>
        </w:rPr>
        <w:t>後，在二零二五年轉為輕微下跌</w:t>
      </w:r>
      <w:r w:rsidR="006B3C6E">
        <w:rPr>
          <w:lang w:val="en-GB"/>
        </w:rPr>
        <w:t>0.3%</w:t>
      </w:r>
      <w:r>
        <w:rPr>
          <w:rFonts w:hint="eastAsia"/>
        </w:rPr>
        <w:t>。</w:t>
      </w:r>
      <w:r w:rsidRPr="00373305">
        <w:rPr>
          <w:rFonts w:hint="eastAsia"/>
        </w:rPr>
        <w:t>撇除對外貿易這個組成項目，內部需求平減物價指數</w:t>
      </w:r>
      <w:r>
        <w:rPr>
          <w:rFonts w:hint="eastAsia"/>
          <w:lang w:eastAsia="zh-HK"/>
        </w:rPr>
        <w:t>繼</w:t>
      </w:r>
      <w:r>
        <w:rPr>
          <w:rFonts w:hint="eastAsia"/>
        </w:rPr>
        <w:t>前一年上升</w:t>
      </w:r>
      <w:r>
        <w:rPr>
          <w:rFonts w:hint="eastAsia"/>
        </w:rPr>
        <w:t>2.8%</w:t>
      </w:r>
      <w:r>
        <w:rPr>
          <w:rFonts w:hint="eastAsia"/>
        </w:rPr>
        <w:t>後，</w:t>
      </w:r>
      <w:r w:rsidRPr="00373305">
        <w:rPr>
          <w:rFonts w:hint="eastAsia"/>
        </w:rPr>
        <w:t>二零二五年</w:t>
      </w:r>
      <w:r w:rsidR="001B1913">
        <w:rPr>
          <w:rFonts w:hint="eastAsia"/>
          <w:lang w:eastAsia="zh-HK"/>
        </w:rPr>
        <w:t>的</w:t>
      </w:r>
      <w:r w:rsidRPr="00373305">
        <w:rPr>
          <w:rFonts w:hint="eastAsia"/>
        </w:rPr>
        <w:t>升幅</w:t>
      </w:r>
      <w:r w:rsidR="00A66801">
        <w:rPr>
          <w:rFonts w:hint="eastAsia"/>
          <w:lang w:eastAsia="zh-HK"/>
        </w:rPr>
        <w:t>減慢</w:t>
      </w:r>
      <w:r w:rsidR="00431A4E">
        <w:rPr>
          <w:rFonts w:hint="eastAsia"/>
          <w:lang w:eastAsia="zh-HK"/>
        </w:rPr>
        <w:t>至</w:t>
      </w:r>
      <w:r w:rsidR="006B3C6E">
        <w:rPr>
          <w:lang w:val="en-GB" w:eastAsia="zh-HK"/>
        </w:rPr>
        <w:t>1.5%</w:t>
      </w:r>
      <w:r w:rsidRPr="00373305">
        <w:rPr>
          <w:rFonts w:hint="eastAsia"/>
        </w:rPr>
        <w:t>。</w:t>
      </w:r>
    </w:p>
    <w:p w14:paraId="5385B964" w14:textId="7A66D424" w:rsidR="009F53C7" w:rsidRPr="00E14518" w:rsidRDefault="00F00D18" w:rsidP="0093046C">
      <w:r w:rsidRPr="00F00D18">
        <w:rPr>
          <w:noProof/>
        </w:rPr>
        <w:drawing>
          <wp:inline distT="0" distB="0" distL="0" distR="0" wp14:anchorId="19859592" wp14:editId="0BE62A28">
            <wp:extent cx="5760085" cy="3510915"/>
            <wp:effectExtent l="0" t="0" r="0" b="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0915"/>
                    </a:xfrm>
                    <a:prstGeom prst="rect">
                      <a:avLst/>
                    </a:prstGeom>
                    <a:noFill/>
                    <a:ln>
                      <a:noFill/>
                    </a:ln>
                  </pic:spPr>
                </pic:pic>
              </a:graphicData>
            </a:graphic>
          </wp:inline>
        </w:drawing>
      </w:r>
    </w:p>
    <w:p w14:paraId="2CBCB926" w14:textId="77777777" w:rsidR="00756746" w:rsidRDefault="00756746" w:rsidP="0093046C">
      <w:pPr>
        <w:pStyle w:val="120"/>
      </w:pPr>
      <w:r>
        <w:br w:type="page"/>
      </w:r>
    </w:p>
    <w:p w14:paraId="765B4FD6" w14:textId="1E8D45D5" w:rsidR="002B6908" w:rsidRDefault="002B6908" w:rsidP="0093046C">
      <w:pPr>
        <w:pStyle w:val="120"/>
      </w:pPr>
      <w:r w:rsidRPr="00AB3073">
        <w:rPr>
          <w:rFonts w:hint="eastAsia"/>
        </w:rPr>
        <w:lastRenderedPageBreak/>
        <w:t>主要經濟行業的淨產值</w:t>
      </w:r>
    </w:p>
    <w:p w14:paraId="2812B42A" w14:textId="3013EC36" w:rsidR="002B6908" w:rsidRPr="00043216" w:rsidRDefault="002B6908" w:rsidP="0093046C">
      <w:pPr>
        <w:rPr>
          <w:lang w:val="en-GB"/>
        </w:rPr>
      </w:pPr>
      <w:r w:rsidRPr="00643D21">
        <w:rPr>
          <w:b/>
          <w:lang w:val="en-GB"/>
        </w:rPr>
        <w:t>1.1</w:t>
      </w:r>
      <w:r>
        <w:rPr>
          <w:b/>
          <w:lang w:val="en-GB"/>
        </w:rPr>
        <w:t>3</w:t>
      </w:r>
      <w:r w:rsidRPr="00643D21">
        <w:rPr>
          <w:lang w:val="en-GB"/>
        </w:rPr>
        <w:tab/>
      </w:r>
      <w:r w:rsidRPr="00643D21">
        <w:rPr>
          <w:rFonts w:hint="eastAsia"/>
          <w:lang w:val="en-GB" w:eastAsia="zh-HK"/>
        </w:rPr>
        <w:t>主要經</w:t>
      </w:r>
      <w:r w:rsidRPr="00643D21">
        <w:rPr>
          <w:rFonts w:hint="eastAsia"/>
          <w:lang w:val="en-GB"/>
        </w:rPr>
        <w:t>濟</w:t>
      </w:r>
      <w:r w:rsidRPr="00643D21">
        <w:rPr>
          <w:rFonts w:hint="eastAsia"/>
          <w:lang w:val="en-GB" w:eastAsia="zh-HK"/>
        </w:rPr>
        <w:t>行業的淨產值統計數字目前只截至二零二五年第</w:t>
      </w:r>
      <w:r>
        <w:rPr>
          <w:rFonts w:hint="eastAsia"/>
          <w:lang w:eastAsia="zh-HK"/>
        </w:rPr>
        <w:t>三</w:t>
      </w:r>
      <w:r w:rsidRPr="00643D21">
        <w:rPr>
          <w:rFonts w:hint="eastAsia"/>
          <w:lang w:val="en-GB" w:eastAsia="zh-HK"/>
        </w:rPr>
        <w:t>季。</w:t>
      </w:r>
      <w:r w:rsidRPr="00643D21">
        <w:rPr>
          <w:lang w:val="en-GB"/>
        </w:rPr>
        <w:t>服務業</w:t>
      </w:r>
      <w:r w:rsidRPr="00643D21">
        <w:rPr>
          <w:rFonts w:hint="eastAsia"/>
          <w:lang w:val="en-GB" w:eastAsia="zh-HK"/>
        </w:rPr>
        <w:t>的</w:t>
      </w:r>
      <w:r w:rsidRPr="00643D21">
        <w:rPr>
          <w:lang w:val="en-GB"/>
        </w:rPr>
        <w:t>淨產值</w:t>
      </w:r>
      <w:r>
        <w:rPr>
          <w:rFonts w:hint="eastAsia"/>
          <w:lang w:eastAsia="zh-HK"/>
        </w:rPr>
        <w:t>繼二零二四年全年</w:t>
      </w:r>
      <w:r w:rsidRPr="00643D21">
        <w:rPr>
          <w:rFonts w:hint="eastAsia"/>
          <w:lang w:val="en-GB"/>
        </w:rPr>
        <w:t>實質</w:t>
      </w:r>
      <w:r w:rsidR="000D790D">
        <w:rPr>
          <w:rFonts w:hint="eastAsia"/>
          <w:lang w:val="en-GB" w:eastAsia="zh-HK"/>
        </w:rPr>
        <w:t>上升</w:t>
      </w:r>
      <w:r>
        <w:rPr>
          <w:rFonts w:hint="eastAsia"/>
        </w:rPr>
        <w:t>2.</w:t>
      </w:r>
      <w:r w:rsidR="000525D2">
        <w:t>3</w:t>
      </w:r>
      <w:r>
        <w:rPr>
          <w:rFonts w:hint="eastAsia"/>
        </w:rPr>
        <w:t>%</w:t>
      </w:r>
      <w:r>
        <w:rPr>
          <w:rFonts w:hint="eastAsia"/>
          <w:lang w:eastAsia="zh-HK"/>
        </w:rPr>
        <w:t>後</w:t>
      </w:r>
      <w:r w:rsidRPr="00643D21">
        <w:rPr>
          <w:rFonts w:hint="eastAsia"/>
          <w:lang w:eastAsia="zh-HK"/>
        </w:rPr>
        <w:t>，</w:t>
      </w:r>
      <w:r>
        <w:rPr>
          <w:rFonts w:hint="eastAsia"/>
          <w:lang w:eastAsia="zh-HK"/>
        </w:rPr>
        <w:t>在</w:t>
      </w:r>
      <w:r>
        <w:rPr>
          <w:rFonts w:hint="eastAsia"/>
          <w:lang w:val="en-GB" w:eastAsia="zh-HK"/>
        </w:rPr>
        <w:t>二零二五年首三季合計</w:t>
      </w:r>
      <w:r w:rsidR="000525D2" w:rsidRPr="00643D21">
        <w:rPr>
          <w:rFonts w:hint="eastAsia"/>
          <w:lang w:val="en-GB"/>
        </w:rPr>
        <w:t>按年</w:t>
      </w:r>
      <w:r w:rsidR="000525D2">
        <w:rPr>
          <w:rFonts w:hint="eastAsia"/>
          <w:lang w:val="en-GB"/>
        </w:rPr>
        <w:t>進一步</w:t>
      </w:r>
      <w:r>
        <w:rPr>
          <w:rFonts w:hint="eastAsia"/>
          <w:lang w:val="en-GB" w:eastAsia="zh-HK"/>
        </w:rPr>
        <w:t>增</w:t>
      </w:r>
      <w:r w:rsidR="00485FA9">
        <w:rPr>
          <w:rFonts w:hint="eastAsia"/>
          <w:lang w:val="en-GB" w:eastAsia="zh-HK"/>
        </w:rPr>
        <w:t>長</w:t>
      </w:r>
      <w:r w:rsidR="006B16AE">
        <w:rPr>
          <w:lang w:val="en-GB" w:eastAsia="zh-HK"/>
        </w:rPr>
        <w:t>3.0%</w:t>
      </w:r>
      <w:r w:rsidRPr="00643D21">
        <w:rPr>
          <w:rFonts w:hint="eastAsia"/>
          <w:lang w:val="en-GB"/>
        </w:rPr>
        <w:t>。大部分主要</w:t>
      </w:r>
      <w:r w:rsidRPr="00643D21">
        <w:rPr>
          <w:rFonts w:hint="eastAsia"/>
          <w:lang w:val="en-GB" w:eastAsia="zh-HK"/>
        </w:rPr>
        <w:t>服務</w:t>
      </w:r>
      <w:r w:rsidRPr="00643D21">
        <w:rPr>
          <w:rFonts w:hint="eastAsia"/>
          <w:lang w:val="en-GB"/>
        </w:rPr>
        <w:t>行</w:t>
      </w:r>
      <w:r w:rsidRPr="00643D21">
        <w:rPr>
          <w:lang w:val="en-GB"/>
        </w:rPr>
        <w:t>業的淨產值</w:t>
      </w:r>
      <w:r w:rsidRPr="00643D21">
        <w:rPr>
          <w:rFonts w:hint="eastAsia"/>
          <w:lang w:val="en-GB" w:eastAsia="zh-HK"/>
        </w:rPr>
        <w:t>在</w:t>
      </w:r>
      <w:r>
        <w:rPr>
          <w:rFonts w:hint="eastAsia"/>
          <w:lang w:val="en-GB" w:eastAsia="zh-HK"/>
        </w:rPr>
        <w:t>首三季合計見改善。當中</w:t>
      </w:r>
      <w:r w:rsidRPr="00643D21">
        <w:rPr>
          <w:rFonts w:hint="eastAsia"/>
          <w:lang w:val="en-GB" w:eastAsia="zh-HK"/>
        </w:rPr>
        <w:t>，進出口貿易業</w:t>
      </w:r>
      <w:r>
        <w:rPr>
          <w:rFonts w:hint="eastAsia"/>
          <w:lang w:val="en-GB" w:eastAsia="zh-HK"/>
        </w:rPr>
        <w:t>和</w:t>
      </w:r>
      <w:r w:rsidRPr="00643D21">
        <w:rPr>
          <w:rFonts w:hint="eastAsia"/>
          <w:lang w:val="en-GB" w:eastAsia="zh-HK"/>
        </w:rPr>
        <w:t>金融及保險業的淨產值增</w:t>
      </w:r>
      <w:r w:rsidRPr="00643D21">
        <w:rPr>
          <w:rFonts w:hint="eastAsia"/>
          <w:lang w:val="en-HK"/>
        </w:rPr>
        <w:t>長</w:t>
      </w:r>
      <w:r>
        <w:rPr>
          <w:rFonts w:hint="eastAsia"/>
          <w:lang w:val="en-HK" w:eastAsia="zh-HK"/>
        </w:rPr>
        <w:t>顯</w:t>
      </w:r>
      <w:r w:rsidR="000525D2">
        <w:rPr>
          <w:rFonts w:hint="eastAsia"/>
          <w:lang w:val="en-HK"/>
        </w:rPr>
        <w:t>著</w:t>
      </w:r>
      <w:r w:rsidRPr="00643D21">
        <w:rPr>
          <w:rFonts w:hint="eastAsia"/>
          <w:lang w:val="en-GB" w:eastAsia="zh-HK"/>
        </w:rPr>
        <w:t>加快</w:t>
      </w:r>
      <w:r>
        <w:rPr>
          <w:rFonts w:hint="eastAsia"/>
          <w:lang w:val="en-GB" w:eastAsia="zh-HK"/>
        </w:rPr>
        <w:t>，大部分</w:t>
      </w:r>
      <w:r w:rsidRPr="00643D21">
        <w:rPr>
          <w:rFonts w:hint="eastAsia"/>
          <w:lang w:val="en-GB" w:eastAsia="zh-HK"/>
        </w:rPr>
        <w:t>其他</w:t>
      </w:r>
      <w:r w:rsidRPr="00643D21">
        <w:rPr>
          <w:lang w:val="en-GB"/>
        </w:rPr>
        <w:t>服務</w:t>
      </w:r>
      <w:r w:rsidRPr="00643D21">
        <w:rPr>
          <w:rFonts w:hint="eastAsia"/>
          <w:lang w:val="en-GB"/>
        </w:rPr>
        <w:t>行</w:t>
      </w:r>
      <w:r w:rsidRPr="00643D21">
        <w:rPr>
          <w:lang w:val="en-GB"/>
        </w:rPr>
        <w:t>業</w:t>
      </w:r>
      <w:r w:rsidRPr="00643D21">
        <w:rPr>
          <w:rFonts w:hint="eastAsia"/>
          <w:lang w:val="en-GB"/>
        </w:rPr>
        <w:t>的淨產值</w:t>
      </w:r>
      <w:r>
        <w:rPr>
          <w:rFonts w:hint="eastAsia"/>
          <w:lang w:val="en-GB" w:eastAsia="zh-HK"/>
        </w:rPr>
        <w:t>錄得輕微至溫和增長</w:t>
      </w:r>
      <w:r w:rsidRPr="00643D21">
        <w:rPr>
          <w:rFonts w:hint="eastAsia"/>
          <w:lang w:val="en-GB" w:eastAsia="zh-HK"/>
        </w:rPr>
        <w:t>。</w:t>
      </w:r>
      <w:r w:rsidRPr="00643D21">
        <w:rPr>
          <w:lang w:val="en-GB"/>
        </w:rPr>
        <w:t>批發及零售業</w:t>
      </w:r>
      <w:r>
        <w:rPr>
          <w:rFonts w:hint="eastAsia"/>
          <w:lang w:val="en-GB" w:eastAsia="zh-HK"/>
        </w:rPr>
        <w:t>和</w:t>
      </w:r>
      <w:r w:rsidRPr="00643D21">
        <w:rPr>
          <w:rFonts w:hint="eastAsia"/>
          <w:lang w:val="en-GB" w:eastAsia="zh-HK"/>
        </w:rPr>
        <w:t>住宿及膳食服務業的淨產值</w:t>
      </w:r>
      <w:r>
        <w:rPr>
          <w:rFonts w:hint="eastAsia"/>
          <w:lang w:val="en-GB" w:eastAsia="zh-HK"/>
        </w:rPr>
        <w:t>繼續下跌，</w:t>
      </w:r>
      <w:r w:rsidR="006B16AE">
        <w:rPr>
          <w:rFonts w:hint="eastAsia"/>
          <w:lang w:val="en-GB"/>
        </w:rPr>
        <w:t>不過</w:t>
      </w:r>
      <w:r w:rsidRPr="00643D21">
        <w:rPr>
          <w:rFonts w:hint="eastAsia"/>
          <w:lang w:val="en-GB" w:eastAsia="zh-HK"/>
        </w:rPr>
        <w:t>跌幅</w:t>
      </w:r>
      <w:r w:rsidR="006B16AE">
        <w:rPr>
          <w:rFonts w:hint="eastAsia"/>
          <w:lang w:val="en-GB" w:eastAsia="zh-HK"/>
        </w:rPr>
        <w:t>有所</w:t>
      </w:r>
      <w:r w:rsidRPr="00643D21">
        <w:rPr>
          <w:rFonts w:hint="eastAsia"/>
          <w:lang w:val="en-GB" w:eastAsia="zh-HK"/>
        </w:rPr>
        <w:t>收窄。</w:t>
      </w:r>
      <w:r w:rsidR="00AC34CF">
        <w:rPr>
          <w:rFonts w:hint="eastAsia"/>
          <w:lang w:val="en-GB" w:eastAsia="zh-HK"/>
        </w:rPr>
        <w:t>然而</w:t>
      </w:r>
      <w:r w:rsidRPr="00643D21">
        <w:rPr>
          <w:rFonts w:hint="eastAsia"/>
          <w:lang w:val="en-GB" w:eastAsia="zh-HK"/>
        </w:rPr>
        <w:t>，地產業的淨產值</w:t>
      </w:r>
      <w:r>
        <w:rPr>
          <w:rFonts w:hint="eastAsia"/>
          <w:lang w:val="en-GB" w:eastAsia="zh-HK"/>
        </w:rPr>
        <w:t>轉為</w:t>
      </w:r>
      <w:r w:rsidRPr="00643D21">
        <w:rPr>
          <w:rFonts w:hint="eastAsia"/>
          <w:lang w:val="en-GB" w:eastAsia="zh-HK"/>
        </w:rPr>
        <w:t>下跌。</w:t>
      </w:r>
      <w:r w:rsidRPr="00643D21">
        <w:rPr>
          <w:lang w:val="en-GB"/>
        </w:rPr>
        <w:t>第二產業方面，製造業</w:t>
      </w:r>
      <w:r w:rsidRPr="00643D21">
        <w:rPr>
          <w:rFonts w:hint="eastAsia"/>
          <w:lang w:val="en-GB" w:eastAsia="zh-HK"/>
        </w:rPr>
        <w:t>的</w:t>
      </w:r>
      <w:r w:rsidRPr="00643D21">
        <w:rPr>
          <w:rFonts w:hint="eastAsia"/>
          <w:lang w:val="en-GB"/>
        </w:rPr>
        <w:t>淨產值</w:t>
      </w:r>
      <w:r w:rsidRPr="00643D21">
        <w:rPr>
          <w:rFonts w:hint="eastAsia"/>
          <w:lang w:val="en-GB" w:eastAsia="zh-HK"/>
        </w:rPr>
        <w:t>增長</w:t>
      </w:r>
      <w:r>
        <w:rPr>
          <w:rFonts w:hint="eastAsia"/>
          <w:lang w:val="en-GB" w:eastAsia="zh-HK"/>
        </w:rPr>
        <w:t>略為加快</w:t>
      </w:r>
      <w:r w:rsidRPr="00643D21">
        <w:rPr>
          <w:rFonts w:hint="eastAsia"/>
          <w:lang w:val="en-GB" w:eastAsia="zh-HK"/>
        </w:rPr>
        <w:t>，但</w:t>
      </w:r>
      <w:r w:rsidRPr="00643D21">
        <w:rPr>
          <w:lang w:val="en-GB"/>
        </w:rPr>
        <w:t>建造業</w:t>
      </w:r>
      <w:r w:rsidRPr="00643D21">
        <w:rPr>
          <w:rFonts w:hint="eastAsia"/>
          <w:lang w:val="en-GB" w:eastAsia="zh-HK"/>
        </w:rPr>
        <w:t>的</w:t>
      </w:r>
      <w:r w:rsidRPr="00643D21">
        <w:rPr>
          <w:rFonts w:hint="eastAsia"/>
          <w:lang w:val="en-GB"/>
        </w:rPr>
        <w:t>淨產值</w:t>
      </w:r>
      <w:r>
        <w:rPr>
          <w:rFonts w:hint="eastAsia"/>
          <w:lang w:val="en-GB" w:eastAsia="zh-HK"/>
        </w:rPr>
        <w:t>轉為</w:t>
      </w:r>
      <w:r w:rsidRPr="00643D21">
        <w:rPr>
          <w:rFonts w:hint="eastAsia"/>
          <w:lang w:val="en-GB"/>
        </w:rPr>
        <w:t>下跌</w:t>
      </w:r>
      <w:r w:rsidRPr="00643D21">
        <w:rPr>
          <w:rFonts w:hint="eastAsia"/>
          <w:lang w:val="en-GB" w:eastAsia="zh-HK"/>
        </w:rPr>
        <w:t>。</w:t>
      </w:r>
    </w:p>
    <w:p w14:paraId="12B18C0E" w14:textId="77777777" w:rsidR="002B6908" w:rsidRPr="0006687D" w:rsidRDefault="002B6908" w:rsidP="007F3E43">
      <w:pPr>
        <w:keepNext/>
        <w:spacing w:after="240"/>
        <w:jc w:val="center"/>
        <w:rPr>
          <w:rFonts w:eastAsia="華康中黑體"/>
        </w:rPr>
      </w:pPr>
      <w:r w:rsidRPr="000F0768">
        <w:rPr>
          <w:rFonts w:eastAsia="華康中黑體"/>
        </w:rPr>
        <w:lastRenderedPageBreak/>
        <w:t>表</w:t>
      </w:r>
      <w:r w:rsidRPr="000F0768">
        <w:rPr>
          <w:rFonts w:eastAsia="華康中黑體"/>
          <w:b/>
        </w:rPr>
        <w:t>1.3</w:t>
      </w:r>
      <w:r w:rsidRPr="000F0768">
        <w:rPr>
          <w:rFonts w:eastAsia="華康中黑體"/>
          <w:b/>
        </w:rPr>
        <w:t>：</w:t>
      </w:r>
      <w:r w:rsidRPr="00E03202">
        <w:rPr>
          <w:rFonts w:eastAsia="華康中黑體" w:hint="eastAsia"/>
        </w:rPr>
        <w:t>主要經濟行業的</w:t>
      </w:r>
      <w:r w:rsidRPr="00E03202">
        <w:rPr>
          <w:rFonts w:eastAsia="華康中黑體" w:hint="eastAsia"/>
          <w:lang w:val="en-GB"/>
        </w:rPr>
        <w:t>淨產值</w:t>
      </w:r>
    </w:p>
    <w:tbl>
      <w:tblPr>
        <w:tblW w:w="10060" w:type="dxa"/>
        <w:jc w:val="center"/>
        <w:tblLayout w:type="fixed"/>
        <w:tblCellMar>
          <w:left w:w="0" w:type="dxa"/>
          <w:right w:w="0" w:type="dxa"/>
        </w:tblCellMar>
        <w:tblLook w:val="0000" w:firstRow="0" w:lastRow="0" w:firstColumn="0" w:lastColumn="0" w:noHBand="0" w:noVBand="0"/>
      </w:tblPr>
      <w:tblGrid>
        <w:gridCol w:w="2536"/>
        <w:gridCol w:w="1698"/>
        <w:gridCol w:w="1274"/>
        <w:gridCol w:w="1135"/>
        <w:gridCol w:w="1135"/>
        <w:gridCol w:w="1133"/>
        <w:gridCol w:w="1149"/>
      </w:tblGrid>
      <w:tr w:rsidR="002B6908" w14:paraId="1A99F089" w14:textId="77777777" w:rsidTr="00103EBC">
        <w:trPr>
          <w:cantSplit/>
          <w:jc w:val="center"/>
        </w:trPr>
        <w:tc>
          <w:tcPr>
            <w:tcW w:w="1261" w:type="pct"/>
            <w:noWrap/>
            <w:tcMar>
              <w:left w:w="28" w:type="dxa"/>
              <w:right w:w="28" w:type="dxa"/>
            </w:tcMar>
          </w:tcPr>
          <w:p w14:paraId="4056A664" w14:textId="77777777" w:rsidR="002B6908" w:rsidRPr="00877DF1" w:rsidRDefault="002B6908" w:rsidP="007F3E43">
            <w:pPr>
              <w:pStyle w:val="17"/>
              <w:tabs>
                <w:tab w:val="clear" w:pos="936"/>
                <w:tab w:val="clear" w:pos="1560"/>
                <w:tab w:val="clear" w:pos="2184"/>
                <w:tab w:val="clear" w:pos="2808"/>
              </w:tabs>
              <w:snapToGrid w:val="0"/>
              <w:spacing w:afterLines="50" w:after="180" w:line="240" w:lineRule="atLeast"/>
              <w:ind w:left="198" w:hanging="198"/>
            </w:pPr>
          </w:p>
        </w:tc>
        <w:tc>
          <w:tcPr>
            <w:tcW w:w="844" w:type="pct"/>
            <w:noWrap/>
            <w:vAlign w:val="center"/>
          </w:tcPr>
          <w:p w14:paraId="573A11BC" w14:textId="75AB4DA6" w:rsidR="002B6908" w:rsidRPr="00004AF3"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rPr>
            </w:pPr>
            <w:r w:rsidRPr="00004AF3">
              <w:rPr>
                <w:rFonts w:hint="eastAsia"/>
                <w:snapToGrid w:val="0"/>
                <w:spacing w:val="0"/>
                <w:sz w:val="20"/>
              </w:rPr>
              <w:t>佔本地生產總值的百分比</w:t>
            </w:r>
            <w:r w:rsidRPr="00004AF3">
              <w:rPr>
                <w:rFonts w:hint="eastAsia"/>
                <w:snapToGrid w:val="0"/>
                <w:spacing w:val="0"/>
                <w:sz w:val="20"/>
                <w:vertAlign w:val="superscript"/>
              </w:rPr>
              <w:t>#</w:t>
            </w:r>
          </w:p>
        </w:tc>
        <w:tc>
          <w:tcPr>
            <w:tcW w:w="2895" w:type="pct"/>
            <w:gridSpan w:val="5"/>
            <w:noWrap/>
            <w:tcMar>
              <w:left w:w="28" w:type="dxa"/>
              <w:right w:w="28" w:type="dxa"/>
            </w:tcMar>
            <w:vAlign w:val="center"/>
          </w:tcPr>
          <w:p w14:paraId="69C7371B" w14:textId="77777777" w:rsidR="002B6908" w:rsidRPr="00A36333" w:rsidRDefault="002B6908" w:rsidP="007F3E43">
            <w:pPr>
              <w:keepNext/>
              <w:snapToGrid w:val="0"/>
              <w:spacing w:afterLines="50" w:after="180" w:line="240" w:lineRule="atLeast"/>
              <w:jc w:val="center"/>
              <w:rPr>
                <w:snapToGrid w:val="0"/>
                <w:spacing w:val="0"/>
                <w:sz w:val="20"/>
              </w:rPr>
            </w:pPr>
            <w:r w:rsidRPr="00A36333">
              <w:rPr>
                <w:rFonts w:hint="eastAsia"/>
                <w:snapToGrid w:val="0"/>
                <w:spacing w:val="0"/>
                <w:sz w:val="20"/>
              </w:rPr>
              <w:t>與一年前比較的實質增減百分率</w:t>
            </w:r>
          </w:p>
        </w:tc>
      </w:tr>
      <w:tr w:rsidR="002B6908" w14:paraId="4A4E3ED9" w14:textId="77777777" w:rsidTr="00103EBC">
        <w:trPr>
          <w:cantSplit/>
          <w:jc w:val="center"/>
        </w:trPr>
        <w:tc>
          <w:tcPr>
            <w:tcW w:w="1261" w:type="pct"/>
            <w:noWrap/>
            <w:tcMar>
              <w:left w:w="28" w:type="dxa"/>
              <w:right w:w="28" w:type="dxa"/>
            </w:tcMar>
          </w:tcPr>
          <w:p w14:paraId="1EAD7690" w14:textId="77777777" w:rsidR="002B6908" w:rsidRPr="00877DF1" w:rsidRDefault="002B6908" w:rsidP="007F3E43">
            <w:pPr>
              <w:pStyle w:val="17"/>
              <w:tabs>
                <w:tab w:val="clear" w:pos="936"/>
                <w:tab w:val="clear" w:pos="1560"/>
                <w:tab w:val="clear" w:pos="2184"/>
                <w:tab w:val="clear" w:pos="2808"/>
              </w:tabs>
              <w:snapToGrid w:val="0"/>
              <w:spacing w:afterLines="50" w:after="180" w:line="240" w:lineRule="atLeast"/>
              <w:ind w:left="198" w:hanging="198"/>
            </w:pPr>
          </w:p>
        </w:tc>
        <w:tc>
          <w:tcPr>
            <w:tcW w:w="844" w:type="pct"/>
            <w:noWrap/>
          </w:tcPr>
          <w:p w14:paraId="7FAA2E07" w14:textId="77777777" w:rsidR="002B6908" w:rsidRPr="00877DF1"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CN"/>
              </w:rPr>
              <w:t>四</w:t>
            </w:r>
            <w:r w:rsidRPr="00877DF1">
              <w:rPr>
                <w:rFonts w:hint="eastAsia"/>
                <w:snapToGrid w:val="0"/>
                <w:spacing w:val="0"/>
                <w:sz w:val="20"/>
                <w:u w:val="single"/>
              </w:rPr>
              <w:t>年</w:t>
            </w:r>
          </w:p>
        </w:tc>
        <w:tc>
          <w:tcPr>
            <w:tcW w:w="633" w:type="pct"/>
            <w:noWrap/>
            <w:tcMar>
              <w:left w:w="28" w:type="dxa"/>
              <w:right w:w="28" w:type="dxa"/>
            </w:tcMar>
          </w:tcPr>
          <w:p w14:paraId="3EB4B9D4" w14:textId="77777777" w:rsidR="002B6908"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w:t>
            </w:r>
            <w:r>
              <w:rPr>
                <w:rFonts w:hint="eastAsia"/>
                <w:snapToGrid w:val="0"/>
                <w:spacing w:val="0"/>
                <w:sz w:val="20"/>
                <w:u w:val="single"/>
                <w:lang w:eastAsia="zh-CN"/>
              </w:rPr>
              <w:t>四</w:t>
            </w:r>
            <w:r w:rsidRPr="00145E29">
              <w:rPr>
                <w:rFonts w:hint="eastAsia"/>
                <w:snapToGrid w:val="0"/>
                <w:spacing w:val="0"/>
                <w:sz w:val="20"/>
                <w:u w:val="single"/>
              </w:rPr>
              <w:t>年</w:t>
            </w:r>
          </w:p>
        </w:tc>
        <w:tc>
          <w:tcPr>
            <w:tcW w:w="2261" w:type="pct"/>
            <w:gridSpan w:val="4"/>
          </w:tcPr>
          <w:p w14:paraId="3649DA73" w14:textId="77777777" w:rsidR="002B6908"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w:t>
            </w:r>
            <w:r>
              <w:rPr>
                <w:rFonts w:hint="eastAsia"/>
                <w:snapToGrid w:val="0"/>
                <w:spacing w:val="0"/>
                <w:sz w:val="20"/>
                <w:u w:val="single"/>
                <w:lang w:eastAsia="zh-CN"/>
              </w:rPr>
              <w:t>五</w:t>
            </w:r>
            <w:r w:rsidRPr="00145E29">
              <w:rPr>
                <w:rFonts w:hint="eastAsia"/>
                <w:snapToGrid w:val="0"/>
                <w:spacing w:val="0"/>
                <w:sz w:val="20"/>
                <w:u w:val="single"/>
              </w:rPr>
              <w:t>年</w:t>
            </w:r>
          </w:p>
        </w:tc>
      </w:tr>
      <w:tr w:rsidR="002B6908" w14:paraId="1B2C1873" w14:textId="77777777" w:rsidTr="00103EBC">
        <w:trPr>
          <w:cantSplit/>
          <w:jc w:val="center"/>
        </w:trPr>
        <w:tc>
          <w:tcPr>
            <w:tcW w:w="1261" w:type="pct"/>
            <w:noWrap/>
            <w:tcMar>
              <w:left w:w="28" w:type="dxa"/>
              <w:right w:w="28" w:type="dxa"/>
            </w:tcMar>
          </w:tcPr>
          <w:p w14:paraId="36CDF934" w14:textId="77777777" w:rsidR="002B6908" w:rsidRPr="00877DF1" w:rsidRDefault="002B6908" w:rsidP="007F3E43">
            <w:pPr>
              <w:pStyle w:val="17"/>
              <w:tabs>
                <w:tab w:val="clear" w:pos="936"/>
                <w:tab w:val="clear" w:pos="1560"/>
                <w:tab w:val="clear" w:pos="2184"/>
                <w:tab w:val="clear" w:pos="2808"/>
              </w:tabs>
              <w:snapToGrid w:val="0"/>
              <w:spacing w:afterLines="50" w:after="180" w:line="240" w:lineRule="atLeast"/>
              <w:ind w:left="198" w:hanging="198"/>
            </w:pPr>
          </w:p>
        </w:tc>
        <w:tc>
          <w:tcPr>
            <w:tcW w:w="844" w:type="pct"/>
            <w:noWrap/>
          </w:tcPr>
          <w:p w14:paraId="16DE08B9" w14:textId="77777777" w:rsidR="002B6908" w:rsidRPr="00877DF1" w:rsidRDefault="002B6908" w:rsidP="007F3E43">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633" w:type="pct"/>
            <w:noWrap/>
            <w:tcMar>
              <w:left w:w="28" w:type="dxa"/>
              <w:right w:w="28" w:type="dxa"/>
            </w:tcMar>
          </w:tcPr>
          <w:p w14:paraId="5F0169F6" w14:textId="77777777" w:rsidR="002B6908" w:rsidRPr="00877DF1" w:rsidRDefault="002B6908" w:rsidP="007F3E43">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64" w:type="pct"/>
            <w:noWrap/>
            <w:tcMar>
              <w:left w:w="28" w:type="dxa"/>
              <w:right w:w="28" w:type="dxa"/>
            </w:tcMar>
          </w:tcPr>
          <w:p w14:paraId="544AEA84" w14:textId="02BC0D7E" w:rsidR="002B6908" w:rsidRPr="00877DF1" w:rsidRDefault="0037259D"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lang w:eastAsia="zh-HK"/>
              </w:rPr>
              <w:t>首</w:t>
            </w:r>
            <w:r w:rsidR="002B6908">
              <w:rPr>
                <w:rFonts w:hint="eastAsia"/>
                <w:snapToGrid w:val="0"/>
                <w:spacing w:val="0"/>
                <w:sz w:val="20"/>
                <w:u w:val="single"/>
                <w:lang w:eastAsia="zh-CN"/>
              </w:rPr>
              <w:t>三季</w:t>
            </w:r>
          </w:p>
        </w:tc>
        <w:tc>
          <w:tcPr>
            <w:tcW w:w="564" w:type="pct"/>
            <w:noWrap/>
          </w:tcPr>
          <w:p w14:paraId="5913B639" w14:textId="77777777" w:rsidR="002B6908" w:rsidRPr="00877DF1"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63" w:type="pct"/>
          </w:tcPr>
          <w:p w14:paraId="6442949A" w14:textId="77777777" w:rsidR="002B6908" w:rsidRPr="00877DF1"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lang w:eastAsia="zh-HK"/>
              </w:rPr>
              <w:t>第二季</w:t>
            </w:r>
          </w:p>
        </w:tc>
        <w:tc>
          <w:tcPr>
            <w:tcW w:w="570" w:type="pct"/>
          </w:tcPr>
          <w:p w14:paraId="694BC75D" w14:textId="77777777" w:rsidR="002B6908" w:rsidRDefault="002B6908" w:rsidP="007F3E43">
            <w:pPr>
              <w:keepNext/>
              <w:tabs>
                <w:tab w:val="clear" w:pos="936"/>
                <w:tab w:val="clear" w:pos="1560"/>
                <w:tab w:val="clear" w:pos="2184"/>
                <w:tab w:val="clear" w:pos="2808"/>
              </w:tabs>
              <w:snapToGrid w:val="0"/>
              <w:spacing w:afterLines="50" w:after="180" w:line="240" w:lineRule="atLeast"/>
              <w:jc w:val="center"/>
              <w:rPr>
                <w:snapToGrid w:val="0"/>
                <w:spacing w:val="0"/>
                <w:sz w:val="20"/>
                <w:u w:val="single"/>
                <w:lang w:eastAsia="zh-HK"/>
              </w:rPr>
            </w:pPr>
            <w:r w:rsidRPr="00877DF1">
              <w:rPr>
                <w:rFonts w:hint="eastAsia"/>
                <w:snapToGrid w:val="0"/>
                <w:spacing w:val="0"/>
                <w:sz w:val="20"/>
                <w:u w:val="single"/>
              </w:rPr>
              <w:t>第三季</w:t>
            </w:r>
          </w:p>
        </w:tc>
      </w:tr>
      <w:tr w:rsidR="00103EBC" w:rsidRPr="00FA505A" w14:paraId="285BA5B8" w14:textId="77777777" w:rsidTr="00103EBC">
        <w:trPr>
          <w:cantSplit/>
          <w:jc w:val="center"/>
        </w:trPr>
        <w:tc>
          <w:tcPr>
            <w:tcW w:w="1261" w:type="pct"/>
            <w:noWrap/>
            <w:tcMar>
              <w:left w:w="28" w:type="dxa"/>
              <w:right w:w="28" w:type="dxa"/>
            </w:tcMar>
          </w:tcPr>
          <w:p w14:paraId="05B2A935"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3211F6E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844" w:type="pct"/>
            <w:noWrap/>
          </w:tcPr>
          <w:p w14:paraId="763A9D10"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1.0</w:t>
            </w:r>
          </w:p>
        </w:tc>
        <w:tc>
          <w:tcPr>
            <w:tcW w:w="633" w:type="pct"/>
            <w:noWrap/>
            <w:tcMar>
              <w:left w:w="28" w:type="dxa"/>
              <w:right w:w="28" w:type="dxa"/>
            </w:tcMar>
          </w:tcPr>
          <w:p w14:paraId="41A86D24" w14:textId="6AE77ABC"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0.8</w:t>
            </w:r>
          </w:p>
        </w:tc>
        <w:tc>
          <w:tcPr>
            <w:tcW w:w="564" w:type="pct"/>
            <w:noWrap/>
            <w:tcMar>
              <w:left w:w="28" w:type="dxa"/>
              <w:right w:w="28" w:type="dxa"/>
            </w:tcMar>
          </w:tcPr>
          <w:p w14:paraId="756FE181" w14:textId="4D5C7EE0"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2.4</w:t>
            </w:r>
          </w:p>
        </w:tc>
        <w:tc>
          <w:tcPr>
            <w:tcW w:w="564" w:type="pct"/>
            <w:noWrap/>
          </w:tcPr>
          <w:p w14:paraId="602B137D" w14:textId="707C2586"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0.7</w:t>
            </w:r>
          </w:p>
        </w:tc>
        <w:tc>
          <w:tcPr>
            <w:tcW w:w="563" w:type="pct"/>
          </w:tcPr>
          <w:p w14:paraId="6F97858A" w14:textId="65B870D3"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0.9</w:t>
            </w:r>
          </w:p>
        </w:tc>
        <w:tc>
          <w:tcPr>
            <w:tcW w:w="570" w:type="pct"/>
          </w:tcPr>
          <w:p w14:paraId="22EAE4E3" w14:textId="6FCD4543"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5.3</w:t>
            </w:r>
          </w:p>
        </w:tc>
      </w:tr>
      <w:tr w:rsidR="00103EBC" w:rsidRPr="00FA505A" w14:paraId="0E5E84E5" w14:textId="77777777" w:rsidTr="00103EBC">
        <w:trPr>
          <w:cantSplit/>
          <w:jc w:val="center"/>
        </w:trPr>
        <w:tc>
          <w:tcPr>
            <w:tcW w:w="1261" w:type="pct"/>
            <w:noWrap/>
            <w:tcMar>
              <w:left w:w="28" w:type="dxa"/>
              <w:right w:w="28" w:type="dxa"/>
            </w:tcMar>
          </w:tcPr>
          <w:p w14:paraId="5EF141B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6873A47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844" w:type="pct"/>
            <w:noWrap/>
          </w:tcPr>
          <w:p w14:paraId="377A050F"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4.3</w:t>
            </w:r>
          </w:p>
        </w:tc>
        <w:tc>
          <w:tcPr>
            <w:tcW w:w="633" w:type="pct"/>
            <w:noWrap/>
            <w:tcMar>
              <w:left w:w="28" w:type="dxa"/>
              <w:right w:w="28" w:type="dxa"/>
            </w:tcMar>
          </w:tcPr>
          <w:p w14:paraId="5F20EC62" w14:textId="30E709C9"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4.5</w:t>
            </w:r>
          </w:p>
        </w:tc>
        <w:tc>
          <w:tcPr>
            <w:tcW w:w="564" w:type="pct"/>
            <w:noWrap/>
            <w:tcMar>
              <w:left w:w="28" w:type="dxa"/>
              <w:right w:w="28" w:type="dxa"/>
            </w:tcMar>
          </w:tcPr>
          <w:p w14:paraId="0D1966F0" w14:textId="2A6F33F8"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-8.2</w:t>
            </w:r>
          </w:p>
        </w:tc>
        <w:tc>
          <w:tcPr>
            <w:tcW w:w="564" w:type="pct"/>
            <w:noWrap/>
          </w:tcPr>
          <w:p w14:paraId="228EB7EB" w14:textId="072983AB"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-4.9</w:t>
            </w:r>
          </w:p>
        </w:tc>
        <w:tc>
          <w:tcPr>
            <w:tcW w:w="563" w:type="pct"/>
          </w:tcPr>
          <w:p w14:paraId="583264B9" w14:textId="5EACF10A"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-10.8</w:t>
            </w:r>
          </w:p>
        </w:tc>
        <w:tc>
          <w:tcPr>
            <w:tcW w:w="570" w:type="pct"/>
          </w:tcPr>
          <w:p w14:paraId="204EE972" w14:textId="2BA7F622"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-8.7</w:t>
            </w:r>
          </w:p>
        </w:tc>
      </w:tr>
      <w:tr w:rsidR="00103EBC" w:rsidRPr="00FA505A" w14:paraId="2BDB92F5" w14:textId="77777777" w:rsidTr="00103EBC">
        <w:trPr>
          <w:cantSplit/>
          <w:jc w:val="center"/>
        </w:trPr>
        <w:tc>
          <w:tcPr>
            <w:tcW w:w="1261" w:type="pct"/>
            <w:noWrap/>
            <w:tcMar>
              <w:left w:w="28" w:type="dxa"/>
              <w:right w:w="28" w:type="dxa"/>
            </w:tcMar>
          </w:tcPr>
          <w:p w14:paraId="5B1D0DC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p>
          <w:p w14:paraId="04A72554"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844" w:type="pct"/>
            <w:noWrap/>
          </w:tcPr>
          <w:p w14:paraId="1B4FAF4E"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93.6</w:t>
            </w:r>
          </w:p>
        </w:tc>
        <w:tc>
          <w:tcPr>
            <w:tcW w:w="633" w:type="pct"/>
            <w:noWrap/>
            <w:tcMar>
              <w:left w:w="28" w:type="dxa"/>
              <w:right w:w="28" w:type="dxa"/>
            </w:tcMar>
          </w:tcPr>
          <w:p w14:paraId="5B05081E" w14:textId="659A4699"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2.3</w:t>
            </w:r>
          </w:p>
        </w:tc>
        <w:tc>
          <w:tcPr>
            <w:tcW w:w="564" w:type="pct"/>
            <w:noWrap/>
            <w:tcMar>
              <w:left w:w="28" w:type="dxa"/>
              <w:right w:w="28" w:type="dxa"/>
            </w:tcMar>
          </w:tcPr>
          <w:p w14:paraId="6B155D5C" w14:textId="6A934A06"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3.0</w:t>
            </w:r>
          </w:p>
        </w:tc>
        <w:tc>
          <w:tcPr>
            <w:tcW w:w="564" w:type="pct"/>
            <w:noWrap/>
          </w:tcPr>
          <w:p w14:paraId="2DAB72EE" w14:textId="2F8BBE58"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2.4</w:t>
            </w:r>
          </w:p>
        </w:tc>
        <w:tc>
          <w:tcPr>
            <w:tcW w:w="563" w:type="pct"/>
          </w:tcPr>
          <w:p w14:paraId="2564EC81" w14:textId="1F11FA9B"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3.5</w:t>
            </w:r>
          </w:p>
        </w:tc>
        <w:tc>
          <w:tcPr>
            <w:tcW w:w="570" w:type="pct"/>
          </w:tcPr>
          <w:p w14:paraId="2BD1D4C0" w14:textId="0FC7CE79"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3.1</w:t>
            </w:r>
          </w:p>
        </w:tc>
      </w:tr>
      <w:tr w:rsidR="00103EBC" w:rsidRPr="00FA505A" w14:paraId="4415E408" w14:textId="77777777" w:rsidTr="00103EBC">
        <w:trPr>
          <w:cantSplit/>
          <w:jc w:val="center"/>
        </w:trPr>
        <w:tc>
          <w:tcPr>
            <w:tcW w:w="1261" w:type="pct"/>
            <w:noWrap/>
            <w:tcMar>
              <w:left w:w="28" w:type="dxa"/>
              <w:right w:w="28" w:type="dxa"/>
            </w:tcMar>
          </w:tcPr>
          <w:p w14:paraId="21A1863D"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4CA7A5B4"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568CD889"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17.2</w:t>
            </w:r>
          </w:p>
        </w:tc>
        <w:tc>
          <w:tcPr>
            <w:tcW w:w="633" w:type="pct"/>
            <w:noWrap/>
            <w:tcMar>
              <w:left w:w="28" w:type="dxa"/>
              <w:right w:w="28" w:type="dxa"/>
            </w:tcMar>
          </w:tcPr>
          <w:p w14:paraId="745BDA0E" w14:textId="7F48BA57"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0.9</w:t>
            </w:r>
          </w:p>
        </w:tc>
        <w:tc>
          <w:tcPr>
            <w:tcW w:w="564" w:type="pct"/>
            <w:noWrap/>
            <w:tcMar>
              <w:left w:w="28" w:type="dxa"/>
              <w:right w:w="28" w:type="dxa"/>
            </w:tcMar>
          </w:tcPr>
          <w:p w14:paraId="02C94692" w14:textId="24219943"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5.2</w:t>
            </w:r>
          </w:p>
        </w:tc>
        <w:tc>
          <w:tcPr>
            <w:tcW w:w="564" w:type="pct"/>
            <w:noWrap/>
          </w:tcPr>
          <w:p w14:paraId="7EA50FB3" w14:textId="38016A58"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4.2</w:t>
            </w:r>
          </w:p>
        </w:tc>
        <w:tc>
          <w:tcPr>
            <w:tcW w:w="563" w:type="pct"/>
          </w:tcPr>
          <w:p w14:paraId="1D583CDE" w14:textId="295984FE"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6.4</w:t>
            </w:r>
          </w:p>
        </w:tc>
        <w:tc>
          <w:tcPr>
            <w:tcW w:w="570" w:type="pct"/>
          </w:tcPr>
          <w:p w14:paraId="5D23DE59" w14:textId="6A4FC1A3"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5.2</w:t>
            </w:r>
          </w:p>
        </w:tc>
      </w:tr>
      <w:tr w:rsidR="00103EBC" w:rsidRPr="00FA505A" w14:paraId="4B399FE4" w14:textId="77777777" w:rsidTr="00103EBC">
        <w:trPr>
          <w:cantSplit/>
          <w:jc w:val="center"/>
        </w:trPr>
        <w:tc>
          <w:tcPr>
            <w:tcW w:w="1261" w:type="pct"/>
            <w:noWrap/>
            <w:tcMar>
              <w:left w:w="28" w:type="dxa"/>
              <w:right w:w="28" w:type="dxa"/>
            </w:tcMar>
          </w:tcPr>
          <w:p w14:paraId="16D9EFB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41CEB732"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3256BFF9"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14.8</w:t>
            </w:r>
          </w:p>
        </w:tc>
        <w:tc>
          <w:tcPr>
            <w:tcW w:w="633" w:type="pct"/>
            <w:noWrap/>
            <w:tcMar>
              <w:left w:w="28" w:type="dxa"/>
              <w:right w:w="28" w:type="dxa"/>
            </w:tcMar>
          </w:tcPr>
          <w:p w14:paraId="450F7FE2" w14:textId="10C4815B"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2.9</w:t>
            </w:r>
          </w:p>
        </w:tc>
        <w:tc>
          <w:tcPr>
            <w:tcW w:w="564" w:type="pct"/>
            <w:noWrap/>
            <w:tcMar>
              <w:left w:w="28" w:type="dxa"/>
              <w:right w:w="28" w:type="dxa"/>
            </w:tcMar>
          </w:tcPr>
          <w:p w14:paraId="7EA9E56D" w14:textId="5DA32C31"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6.2</w:t>
            </w:r>
          </w:p>
        </w:tc>
        <w:tc>
          <w:tcPr>
            <w:tcW w:w="564" w:type="pct"/>
            <w:noWrap/>
          </w:tcPr>
          <w:p w14:paraId="56D38F1E" w14:textId="57E32D1D"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6.3</w:t>
            </w:r>
          </w:p>
        </w:tc>
        <w:tc>
          <w:tcPr>
            <w:tcW w:w="563" w:type="pct"/>
          </w:tcPr>
          <w:p w14:paraId="0D2649F1" w14:textId="41469F28"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7.3</w:t>
            </w:r>
          </w:p>
        </w:tc>
        <w:tc>
          <w:tcPr>
            <w:tcW w:w="570" w:type="pct"/>
          </w:tcPr>
          <w:p w14:paraId="10EF6670" w14:textId="4D549168"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5.2</w:t>
            </w:r>
          </w:p>
        </w:tc>
      </w:tr>
      <w:tr w:rsidR="00103EBC" w:rsidRPr="00FA505A" w14:paraId="19EC6D6A" w14:textId="77777777" w:rsidTr="00103EBC">
        <w:trPr>
          <w:cantSplit/>
          <w:jc w:val="center"/>
        </w:trPr>
        <w:tc>
          <w:tcPr>
            <w:tcW w:w="1261" w:type="pct"/>
            <w:noWrap/>
            <w:tcMar>
              <w:left w:w="28" w:type="dxa"/>
              <w:right w:w="28" w:type="dxa"/>
            </w:tcMar>
          </w:tcPr>
          <w:p w14:paraId="7CB7D96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341CFE25"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574E994C"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2.4</w:t>
            </w:r>
          </w:p>
        </w:tc>
        <w:tc>
          <w:tcPr>
            <w:tcW w:w="633" w:type="pct"/>
            <w:noWrap/>
            <w:tcMar>
              <w:left w:w="28" w:type="dxa"/>
              <w:right w:w="28" w:type="dxa"/>
            </w:tcMar>
          </w:tcPr>
          <w:p w14:paraId="7D5BD9DD" w14:textId="405B0E62"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-9.8</w:t>
            </w:r>
          </w:p>
        </w:tc>
        <w:tc>
          <w:tcPr>
            <w:tcW w:w="564" w:type="pct"/>
            <w:noWrap/>
            <w:tcMar>
              <w:left w:w="28" w:type="dxa"/>
              <w:right w:w="28" w:type="dxa"/>
            </w:tcMar>
          </w:tcPr>
          <w:p w14:paraId="47C1EAA5" w14:textId="0043AA02"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-1.3</w:t>
            </w:r>
          </w:p>
        </w:tc>
        <w:tc>
          <w:tcPr>
            <w:tcW w:w="564" w:type="pct"/>
            <w:noWrap/>
          </w:tcPr>
          <w:p w14:paraId="7553A36A" w14:textId="3EDDD17D"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-9.1</w:t>
            </w:r>
          </w:p>
        </w:tc>
        <w:tc>
          <w:tcPr>
            <w:tcW w:w="563" w:type="pct"/>
          </w:tcPr>
          <w:p w14:paraId="24B113CB" w14:textId="5EBA7C2E"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0.2</w:t>
            </w:r>
          </w:p>
        </w:tc>
        <w:tc>
          <w:tcPr>
            <w:tcW w:w="570" w:type="pct"/>
          </w:tcPr>
          <w:p w14:paraId="38511702" w14:textId="333ADBC9"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4.6</w:t>
            </w:r>
          </w:p>
        </w:tc>
      </w:tr>
      <w:tr w:rsidR="00103EBC" w:rsidRPr="00FA505A" w14:paraId="64F3177F" w14:textId="77777777" w:rsidTr="00103EBC">
        <w:trPr>
          <w:cantSplit/>
          <w:jc w:val="center"/>
        </w:trPr>
        <w:tc>
          <w:tcPr>
            <w:tcW w:w="1261" w:type="pct"/>
            <w:noWrap/>
            <w:tcMar>
              <w:left w:w="28" w:type="dxa"/>
              <w:right w:w="28" w:type="dxa"/>
            </w:tcMar>
          </w:tcPr>
          <w:p w14:paraId="1E2E2C23"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6C601021"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3C57C4E3"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2.0</w:t>
            </w:r>
          </w:p>
        </w:tc>
        <w:tc>
          <w:tcPr>
            <w:tcW w:w="633" w:type="pct"/>
            <w:noWrap/>
            <w:tcMar>
              <w:left w:w="28" w:type="dxa"/>
              <w:right w:w="28" w:type="dxa"/>
            </w:tcMar>
          </w:tcPr>
          <w:p w14:paraId="0E291EE5" w14:textId="740E7726"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-1.8</w:t>
            </w:r>
          </w:p>
        </w:tc>
        <w:tc>
          <w:tcPr>
            <w:tcW w:w="564" w:type="pct"/>
            <w:noWrap/>
            <w:tcMar>
              <w:left w:w="28" w:type="dxa"/>
              <w:right w:w="28" w:type="dxa"/>
            </w:tcMar>
          </w:tcPr>
          <w:p w14:paraId="5A92F648" w14:textId="69FDD16E"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-1.3</w:t>
            </w:r>
          </w:p>
        </w:tc>
        <w:tc>
          <w:tcPr>
            <w:tcW w:w="564" w:type="pct"/>
            <w:noWrap/>
          </w:tcPr>
          <w:p w14:paraId="52FEFFBF" w14:textId="49586711"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-2.5</w:t>
            </w:r>
          </w:p>
        </w:tc>
        <w:tc>
          <w:tcPr>
            <w:tcW w:w="563" w:type="pct"/>
          </w:tcPr>
          <w:p w14:paraId="1BA62931" w14:textId="5F76C58D"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-0.4</w:t>
            </w:r>
          </w:p>
        </w:tc>
        <w:tc>
          <w:tcPr>
            <w:tcW w:w="570" w:type="pct"/>
          </w:tcPr>
          <w:p w14:paraId="5086F85E" w14:textId="6A858BE9"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-0.9</w:t>
            </w:r>
          </w:p>
        </w:tc>
      </w:tr>
      <w:tr w:rsidR="00103EBC" w:rsidRPr="00FA505A" w14:paraId="725341EA" w14:textId="77777777" w:rsidTr="00103EBC">
        <w:trPr>
          <w:cantSplit/>
          <w:jc w:val="center"/>
        </w:trPr>
        <w:tc>
          <w:tcPr>
            <w:tcW w:w="1261" w:type="pct"/>
            <w:noWrap/>
            <w:tcMar>
              <w:left w:w="28" w:type="dxa"/>
              <w:right w:w="28" w:type="dxa"/>
            </w:tcMar>
          </w:tcPr>
          <w:p w14:paraId="5CD94BCF"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r w:rsidRPr="00B008CD">
              <w:rPr>
                <w:snapToGrid w:val="0"/>
                <w:spacing w:val="0"/>
                <w:sz w:val="20"/>
              </w:rPr>
              <w:t>速遞服務</w:t>
            </w:r>
          </w:p>
          <w:p w14:paraId="173E3AE3"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4965E584"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6.1</w:t>
            </w:r>
          </w:p>
        </w:tc>
        <w:tc>
          <w:tcPr>
            <w:tcW w:w="633" w:type="pct"/>
            <w:noWrap/>
            <w:tcMar>
              <w:left w:w="28" w:type="dxa"/>
              <w:right w:w="28" w:type="dxa"/>
            </w:tcMar>
          </w:tcPr>
          <w:p w14:paraId="6522C4A1" w14:textId="205553BF"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10.7</w:t>
            </w:r>
          </w:p>
        </w:tc>
        <w:tc>
          <w:tcPr>
            <w:tcW w:w="564" w:type="pct"/>
            <w:noWrap/>
            <w:tcMar>
              <w:left w:w="28" w:type="dxa"/>
              <w:right w:w="28" w:type="dxa"/>
            </w:tcMar>
          </w:tcPr>
          <w:p w14:paraId="01DE3FDD" w14:textId="047A81A9"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3.3</w:t>
            </w:r>
          </w:p>
        </w:tc>
        <w:tc>
          <w:tcPr>
            <w:tcW w:w="564" w:type="pct"/>
            <w:noWrap/>
          </w:tcPr>
          <w:p w14:paraId="4644BFED" w14:textId="6ACCD781"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2.6</w:t>
            </w:r>
          </w:p>
        </w:tc>
        <w:tc>
          <w:tcPr>
            <w:tcW w:w="563" w:type="pct"/>
          </w:tcPr>
          <w:p w14:paraId="5683BB3E" w14:textId="4F746906"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5.5</w:t>
            </w:r>
          </w:p>
        </w:tc>
        <w:tc>
          <w:tcPr>
            <w:tcW w:w="570" w:type="pct"/>
          </w:tcPr>
          <w:p w14:paraId="16B329B2" w14:textId="3FEDDA14"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2.2</w:t>
            </w:r>
          </w:p>
        </w:tc>
      </w:tr>
      <w:tr w:rsidR="00103EBC" w:rsidRPr="00FA505A" w14:paraId="099C6BD7" w14:textId="77777777" w:rsidTr="00103EBC">
        <w:trPr>
          <w:cantSplit/>
          <w:jc w:val="center"/>
        </w:trPr>
        <w:tc>
          <w:tcPr>
            <w:tcW w:w="1261" w:type="pct"/>
            <w:noWrap/>
            <w:tcMar>
              <w:left w:w="28" w:type="dxa"/>
              <w:right w:w="28" w:type="dxa"/>
            </w:tcMar>
          </w:tcPr>
          <w:p w14:paraId="7F14AD4F"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5749A0EA"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3EAF1C88"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5.9</w:t>
            </w:r>
          </w:p>
        </w:tc>
        <w:tc>
          <w:tcPr>
            <w:tcW w:w="633" w:type="pct"/>
            <w:noWrap/>
            <w:tcMar>
              <w:left w:w="28" w:type="dxa"/>
              <w:right w:w="28" w:type="dxa"/>
            </w:tcMar>
          </w:tcPr>
          <w:p w14:paraId="5EE659FB" w14:textId="22D4155F"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11.4</w:t>
            </w:r>
          </w:p>
        </w:tc>
        <w:tc>
          <w:tcPr>
            <w:tcW w:w="564" w:type="pct"/>
            <w:noWrap/>
            <w:tcMar>
              <w:left w:w="28" w:type="dxa"/>
              <w:right w:w="28" w:type="dxa"/>
            </w:tcMar>
          </w:tcPr>
          <w:p w14:paraId="4616E473" w14:textId="3D44AAC3"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3.4</w:t>
            </w:r>
          </w:p>
        </w:tc>
        <w:tc>
          <w:tcPr>
            <w:tcW w:w="564" w:type="pct"/>
            <w:noWrap/>
          </w:tcPr>
          <w:p w14:paraId="7746E9B0" w14:textId="0E57DF19"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2.6</w:t>
            </w:r>
          </w:p>
        </w:tc>
        <w:tc>
          <w:tcPr>
            <w:tcW w:w="563" w:type="pct"/>
          </w:tcPr>
          <w:p w14:paraId="768003F0" w14:textId="5C1676E8"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5.7</w:t>
            </w:r>
          </w:p>
        </w:tc>
        <w:tc>
          <w:tcPr>
            <w:tcW w:w="570" w:type="pct"/>
          </w:tcPr>
          <w:p w14:paraId="282409E5" w14:textId="64DC7E4B"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2.4</w:t>
            </w:r>
          </w:p>
        </w:tc>
      </w:tr>
      <w:tr w:rsidR="00103EBC" w:rsidRPr="00FA505A" w14:paraId="768F77D9" w14:textId="77777777" w:rsidTr="00103EBC">
        <w:trPr>
          <w:cantSplit/>
          <w:jc w:val="center"/>
        </w:trPr>
        <w:tc>
          <w:tcPr>
            <w:tcW w:w="1261" w:type="pct"/>
            <w:noWrap/>
            <w:tcMar>
              <w:left w:w="28" w:type="dxa"/>
              <w:right w:w="28" w:type="dxa"/>
            </w:tcMar>
          </w:tcPr>
          <w:p w14:paraId="50E1BBD2"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郵政及速遞服務</w:t>
            </w:r>
          </w:p>
          <w:p w14:paraId="7EEF4146"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3BA82067"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0.3</w:t>
            </w:r>
          </w:p>
        </w:tc>
        <w:tc>
          <w:tcPr>
            <w:tcW w:w="633" w:type="pct"/>
            <w:noWrap/>
            <w:tcMar>
              <w:left w:w="28" w:type="dxa"/>
              <w:right w:w="28" w:type="dxa"/>
            </w:tcMar>
          </w:tcPr>
          <w:p w14:paraId="3BEFE091" w14:textId="79E5DF2E"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-1.2</w:t>
            </w:r>
          </w:p>
        </w:tc>
        <w:tc>
          <w:tcPr>
            <w:tcW w:w="564" w:type="pct"/>
            <w:noWrap/>
            <w:tcMar>
              <w:left w:w="28" w:type="dxa"/>
              <w:right w:w="28" w:type="dxa"/>
            </w:tcMar>
          </w:tcPr>
          <w:p w14:paraId="7C86E9A6" w14:textId="02AFE30C"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1.2</w:t>
            </w:r>
          </w:p>
        </w:tc>
        <w:tc>
          <w:tcPr>
            <w:tcW w:w="564" w:type="pct"/>
            <w:noWrap/>
          </w:tcPr>
          <w:p w14:paraId="5EBE7060" w14:textId="30A5F63D"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2.4</w:t>
            </w:r>
          </w:p>
        </w:tc>
        <w:tc>
          <w:tcPr>
            <w:tcW w:w="563" w:type="pct"/>
          </w:tcPr>
          <w:p w14:paraId="4AEA0271" w14:textId="69E44273"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2.2</w:t>
            </w:r>
          </w:p>
        </w:tc>
        <w:tc>
          <w:tcPr>
            <w:tcW w:w="570" w:type="pct"/>
          </w:tcPr>
          <w:p w14:paraId="0E6C94A7" w14:textId="74D620C6"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-1.2</w:t>
            </w:r>
          </w:p>
        </w:tc>
      </w:tr>
      <w:tr w:rsidR="00103EBC" w:rsidRPr="00FA505A" w14:paraId="5680E6CF" w14:textId="77777777" w:rsidTr="00103EBC">
        <w:trPr>
          <w:cantSplit/>
          <w:jc w:val="center"/>
        </w:trPr>
        <w:tc>
          <w:tcPr>
            <w:tcW w:w="1261" w:type="pct"/>
            <w:noWrap/>
            <w:tcMar>
              <w:left w:w="28" w:type="dxa"/>
              <w:right w:w="28" w:type="dxa"/>
            </w:tcMar>
          </w:tcPr>
          <w:p w14:paraId="78F5ADF9"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04202A43"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6102091B"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3.3</w:t>
            </w:r>
          </w:p>
        </w:tc>
        <w:tc>
          <w:tcPr>
            <w:tcW w:w="633" w:type="pct"/>
            <w:noWrap/>
            <w:tcMar>
              <w:left w:w="28" w:type="dxa"/>
              <w:right w:w="28" w:type="dxa"/>
            </w:tcMar>
          </w:tcPr>
          <w:p w14:paraId="26243690" w14:textId="55B43474"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1.8</w:t>
            </w:r>
          </w:p>
        </w:tc>
        <w:tc>
          <w:tcPr>
            <w:tcW w:w="564" w:type="pct"/>
            <w:noWrap/>
            <w:tcMar>
              <w:left w:w="28" w:type="dxa"/>
              <w:right w:w="28" w:type="dxa"/>
            </w:tcMar>
          </w:tcPr>
          <w:p w14:paraId="564DFF6A" w14:textId="7D4D2EF6"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0.6</w:t>
            </w:r>
          </w:p>
        </w:tc>
        <w:tc>
          <w:tcPr>
            <w:tcW w:w="564" w:type="pct"/>
            <w:noWrap/>
          </w:tcPr>
          <w:p w14:paraId="094C5BD4" w14:textId="150F97FE"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1.0</w:t>
            </w:r>
          </w:p>
        </w:tc>
        <w:tc>
          <w:tcPr>
            <w:tcW w:w="563" w:type="pct"/>
          </w:tcPr>
          <w:p w14:paraId="516B9115" w14:textId="1246B23C"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0.2</w:t>
            </w:r>
          </w:p>
        </w:tc>
        <w:tc>
          <w:tcPr>
            <w:tcW w:w="570" w:type="pct"/>
          </w:tcPr>
          <w:p w14:paraId="26A9ADE5" w14:textId="3D305BCC"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0.6</w:t>
            </w:r>
          </w:p>
        </w:tc>
      </w:tr>
      <w:tr w:rsidR="00103EBC" w:rsidRPr="00FA505A" w14:paraId="65A1628A" w14:textId="77777777" w:rsidTr="00103EBC">
        <w:trPr>
          <w:cantSplit/>
          <w:jc w:val="center"/>
        </w:trPr>
        <w:tc>
          <w:tcPr>
            <w:tcW w:w="1261" w:type="pct"/>
            <w:noWrap/>
            <w:tcMar>
              <w:left w:w="28" w:type="dxa"/>
              <w:right w:w="28" w:type="dxa"/>
            </w:tcMar>
          </w:tcPr>
          <w:p w14:paraId="2A236B04"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2BCD4DCC"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7E2E60AD"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26.2</w:t>
            </w:r>
          </w:p>
        </w:tc>
        <w:tc>
          <w:tcPr>
            <w:tcW w:w="633" w:type="pct"/>
            <w:noWrap/>
            <w:tcMar>
              <w:left w:w="28" w:type="dxa"/>
              <w:right w:w="28" w:type="dxa"/>
            </w:tcMar>
          </w:tcPr>
          <w:p w14:paraId="543FB752" w14:textId="033E7D33"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1.3</w:t>
            </w:r>
          </w:p>
        </w:tc>
        <w:tc>
          <w:tcPr>
            <w:tcW w:w="564" w:type="pct"/>
            <w:noWrap/>
            <w:tcMar>
              <w:left w:w="28" w:type="dxa"/>
              <w:right w:w="28" w:type="dxa"/>
            </w:tcMar>
          </w:tcPr>
          <w:p w14:paraId="2B68A2FA" w14:textId="0F55CA13"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4.8</w:t>
            </w:r>
          </w:p>
        </w:tc>
        <w:tc>
          <w:tcPr>
            <w:tcW w:w="564" w:type="pct"/>
            <w:noWrap/>
          </w:tcPr>
          <w:p w14:paraId="684110A8" w14:textId="6935E563"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3.7</w:t>
            </w:r>
          </w:p>
        </w:tc>
        <w:tc>
          <w:tcPr>
            <w:tcW w:w="563" w:type="pct"/>
          </w:tcPr>
          <w:p w14:paraId="2328F3F2" w14:textId="53ADF76E"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5.2</w:t>
            </w:r>
          </w:p>
        </w:tc>
        <w:tc>
          <w:tcPr>
            <w:tcW w:w="570" w:type="pct"/>
          </w:tcPr>
          <w:p w14:paraId="75234881" w14:textId="53FA2973"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5.4</w:t>
            </w:r>
          </w:p>
        </w:tc>
      </w:tr>
      <w:tr w:rsidR="00103EBC" w:rsidRPr="00FA505A" w14:paraId="1B09A981" w14:textId="77777777" w:rsidTr="00103EBC">
        <w:trPr>
          <w:cantSplit/>
          <w:jc w:val="center"/>
        </w:trPr>
        <w:tc>
          <w:tcPr>
            <w:tcW w:w="1261" w:type="pct"/>
            <w:noWrap/>
            <w:tcMar>
              <w:left w:w="28" w:type="dxa"/>
              <w:right w:w="28" w:type="dxa"/>
            </w:tcMar>
          </w:tcPr>
          <w:p w14:paraId="7B4E34B3"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0248BECD"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3BCC770B"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8.2</w:t>
            </w:r>
          </w:p>
        </w:tc>
        <w:tc>
          <w:tcPr>
            <w:tcW w:w="633" w:type="pct"/>
            <w:noWrap/>
            <w:tcMar>
              <w:left w:w="28" w:type="dxa"/>
              <w:right w:w="28" w:type="dxa"/>
            </w:tcMar>
          </w:tcPr>
          <w:p w14:paraId="2DFFC029" w14:textId="3F150F99"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2.2</w:t>
            </w:r>
          </w:p>
        </w:tc>
        <w:tc>
          <w:tcPr>
            <w:tcW w:w="564" w:type="pct"/>
            <w:noWrap/>
            <w:tcMar>
              <w:left w:w="28" w:type="dxa"/>
              <w:right w:w="28" w:type="dxa"/>
            </w:tcMar>
          </w:tcPr>
          <w:p w14:paraId="477BA33C" w14:textId="26042CDC"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-0.5</w:t>
            </w:r>
          </w:p>
        </w:tc>
        <w:tc>
          <w:tcPr>
            <w:tcW w:w="564" w:type="pct"/>
            <w:noWrap/>
          </w:tcPr>
          <w:p w14:paraId="6D32136E" w14:textId="0939CA51"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-0.5</w:t>
            </w:r>
          </w:p>
        </w:tc>
        <w:tc>
          <w:tcPr>
            <w:tcW w:w="563" w:type="pct"/>
          </w:tcPr>
          <w:p w14:paraId="35204C9C" w14:textId="09134977"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-0.8</w:t>
            </w:r>
          </w:p>
        </w:tc>
        <w:tc>
          <w:tcPr>
            <w:tcW w:w="570" w:type="pct"/>
          </w:tcPr>
          <w:p w14:paraId="3327DB02" w14:textId="43F60B02"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w:t>
            </w:r>
          </w:p>
        </w:tc>
      </w:tr>
      <w:tr w:rsidR="00103EBC" w:rsidRPr="00FA505A" w14:paraId="19DA785F" w14:textId="77777777" w:rsidTr="00103EBC">
        <w:trPr>
          <w:cantSplit/>
          <w:jc w:val="center"/>
        </w:trPr>
        <w:tc>
          <w:tcPr>
            <w:tcW w:w="1261" w:type="pct"/>
            <w:noWrap/>
            <w:tcMar>
              <w:left w:w="28" w:type="dxa"/>
              <w:right w:w="28" w:type="dxa"/>
            </w:tcMar>
          </w:tcPr>
          <w:p w14:paraId="5CB8822B"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2D669054"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52BB9EC9"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3.1</w:t>
            </w:r>
          </w:p>
        </w:tc>
        <w:tc>
          <w:tcPr>
            <w:tcW w:w="633" w:type="pct"/>
            <w:noWrap/>
            <w:tcMar>
              <w:left w:w="28" w:type="dxa"/>
              <w:right w:w="28" w:type="dxa"/>
            </w:tcMar>
          </w:tcPr>
          <w:p w14:paraId="02C76EAC" w14:textId="51112F15"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3.2</w:t>
            </w:r>
          </w:p>
        </w:tc>
        <w:tc>
          <w:tcPr>
            <w:tcW w:w="564" w:type="pct"/>
            <w:noWrap/>
            <w:tcMar>
              <w:left w:w="28" w:type="dxa"/>
              <w:right w:w="28" w:type="dxa"/>
            </w:tcMar>
          </w:tcPr>
          <w:p w14:paraId="37ED744F" w14:textId="1B480CED"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-3.1</w:t>
            </w:r>
          </w:p>
        </w:tc>
        <w:tc>
          <w:tcPr>
            <w:tcW w:w="564" w:type="pct"/>
            <w:noWrap/>
          </w:tcPr>
          <w:p w14:paraId="2B93BA8B" w14:textId="3624A0D6"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-4.2</w:t>
            </w:r>
          </w:p>
        </w:tc>
        <w:tc>
          <w:tcPr>
            <w:tcW w:w="563" w:type="pct"/>
          </w:tcPr>
          <w:p w14:paraId="5D6827AF" w14:textId="363B092F"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-4.6</w:t>
            </w:r>
          </w:p>
        </w:tc>
        <w:tc>
          <w:tcPr>
            <w:tcW w:w="570" w:type="pct"/>
          </w:tcPr>
          <w:p w14:paraId="7FC73F75" w14:textId="11DC28F1"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-0.6</w:t>
            </w:r>
          </w:p>
        </w:tc>
      </w:tr>
      <w:tr w:rsidR="00103EBC" w:rsidRPr="00FA505A" w14:paraId="62C48F72" w14:textId="77777777" w:rsidTr="00103EBC">
        <w:trPr>
          <w:cantSplit/>
          <w:jc w:val="center"/>
        </w:trPr>
        <w:tc>
          <w:tcPr>
            <w:tcW w:w="1261" w:type="pct"/>
            <w:noWrap/>
            <w:tcMar>
              <w:left w:w="28" w:type="dxa"/>
              <w:right w:w="28" w:type="dxa"/>
            </w:tcMar>
          </w:tcPr>
          <w:p w14:paraId="6D489A91"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155EA683"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844" w:type="pct"/>
            <w:noWrap/>
          </w:tcPr>
          <w:p w14:paraId="6B26B08D"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5.1</w:t>
            </w:r>
          </w:p>
        </w:tc>
        <w:tc>
          <w:tcPr>
            <w:tcW w:w="633" w:type="pct"/>
            <w:noWrap/>
            <w:tcMar>
              <w:left w:w="28" w:type="dxa"/>
              <w:right w:w="28" w:type="dxa"/>
            </w:tcMar>
          </w:tcPr>
          <w:p w14:paraId="464FFD92" w14:textId="461B695C"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1.7</w:t>
            </w:r>
          </w:p>
        </w:tc>
        <w:tc>
          <w:tcPr>
            <w:tcW w:w="564" w:type="pct"/>
            <w:noWrap/>
            <w:tcMar>
              <w:left w:w="28" w:type="dxa"/>
              <w:right w:w="28" w:type="dxa"/>
            </w:tcMar>
          </w:tcPr>
          <w:p w14:paraId="05BF96B2" w14:textId="24A5D706"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1.2</w:t>
            </w:r>
          </w:p>
        </w:tc>
        <w:tc>
          <w:tcPr>
            <w:tcW w:w="564" w:type="pct"/>
            <w:noWrap/>
          </w:tcPr>
          <w:p w14:paraId="2204D72C" w14:textId="0936CA8A"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1.8</w:t>
            </w:r>
          </w:p>
        </w:tc>
        <w:tc>
          <w:tcPr>
            <w:tcW w:w="563" w:type="pct"/>
          </w:tcPr>
          <w:p w14:paraId="2EBF88C7" w14:textId="1604BCF1"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1.4</w:t>
            </w:r>
          </w:p>
        </w:tc>
        <w:tc>
          <w:tcPr>
            <w:tcW w:w="570" w:type="pct"/>
          </w:tcPr>
          <w:p w14:paraId="04EF1350" w14:textId="4ED134DA"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0.3</w:t>
            </w:r>
          </w:p>
        </w:tc>
      </w:tr>
      <w:tr w:rsidR="00103EBC" w:rsidRPr="00FA505A" w14:paraId="0953900D" w14:textId="77777777" w:rsidTr="00103EBC">
        <w:trPr>
          <w:cantSplit/>
          <w:jc w:val="center"/>
        </w:trPr>
        <w:tc>
          <w:tcPr>
            <w:tcW w:w="1261" w:type="pct"/>
            <w:noWrap/>
            <w:tcMar>
              <w:left w:w="28" w:type="dxa"/>
              <w:right w:w="28" w:type="dxa"/>
            </w:tcMar>
          </w:tcPr>
          <w:p w14:paraId="29BFE8C6" w14:textId="77777777" w:rsidR="00103EBC" w:rsidRPr="00B008CD" w:rsidRDefault="00103EBC" w:rsidP="00103EBC">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844" w:type="pct"/>
            <w:noWrap/>
          </w:tcPr>
          <w:p w14:paraId="4251BE09" w14:textId="77777777" w:rsidR="00103EBC" w:rsidRPr="00BE566E" w:rsidRDefault="00103EBC" w:rsidP="00103EBC">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20.5</w:t>
            </w:r>
          </w:p>
        </w:tc>
        <w:tc>
          <w:tcPr>
            <w:tcW w:w="633" w:type="pct"/>
            <w:noWrap/>
            <w:tcMar>
              <w:left w:w="28" w:type="dxa"/>
              <w:right w:w="28" w:type="dxa"/>
            </w:tcMar>
          </w:tcPr>
          <w:p w14:paraId="54F42B65" w14:textId="4AE57E17"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3.3</w:t>
            </w:r>
          </w:p>
        </w:tc>
        <w:tc>
          <w:tcPr>
            <w:tcW w:w="564" w:type="pct"/>
            <w:noWrap/>
            <w:tcMar>
              <w:left w:w="28" w:type="dxa"/>
              <w:right w:w="28" w:type="dxa"/>
            </w:tcMar>
          </w:tcPr>
          <w:p w14:paraId="3631B083" w14:textId="61230B99"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2.2</w:t>
            </w:r>
          </w:p>
        </w:tc>
        <w:tc>
          <w:tcPr>
            <w:tcW w:w="564" w:type="pct"/>
            <w:noWrap/>
          </w:tcPr>
          <w:p w14:paraId="2B4D5DDE" w14:textId="1880E538"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2.0</w:t>
            </w:r>
          </w:p>
        </w:tc>
        <w:tc>
          <w:tcPr>
            <w:tcW w:w="563" w:type="pct"/>
          </w:tcPr>
          <w:p w14:paraId="5216E40A" w14:textId="23E659C1" w:rsidR="00103EBC" w:rsidRPr="00BE566E" w:rsidRDefault="00103EBC" w:rsidP="00BE566E">
            <w:pPr>
              <w:pStyle w:val="5"/>
              <w:tabs>
                <w:tab w:val="decimal" w:pos="566"/>
              </w:tabs>
              <w:snapToGrid w:val="0"/>
              <w:spacing w:line="240" w:lineRule="auto"/>
              <w:ind w:left="0" w:rightChars="134" w:right="402"/>
              <w:jc w:val="left"/>
              <w:rPr>
                <w:rFonts w:ascii="Times New Roman"/>
                <w:sz w:val="22"/>
                <w:szCs w:val="22"/>
                <w:u w:val="none"/>
              </w:rPr>
            </w:pPr>
            <w:r w:rsidRPr="00BE566E">
              <w:rPr>
                <w:rFonts w:ascii="Times New Roman"/>
                <w:sz w:val="22"/>
                <w:szCs w:val="22"/>
                <w:u w:val="none"/>
              </w:rPr>
              <w:t>2.6</w:t>
            </w:r>
          </w:p>
        </w:tc>
        <w:tc>
          <w:tcPr>
            <w:tcW w:w="570" w:type="pct"/>
          </w:tcPr>
          <w:p w14:paraId="53373E08" w14:textId="570E14BB" w:rsidR="00103EBC" w:rsidRPr="00BE566E" w:rsidRDefault="00103EBC" w:rsidP="00BE566E">
            <w:pPr>
              <w:pStyle w:val="5"/>
              <w:tabs>
                <w:tab w:val="decimal" w:pos="566"/>
              </w:tabs>
              <w:snapToGrid w:val="0"/>
              <w:spacing w:line="240" w:lineRule="auto"/>
              <w:ind w:left="0" w:rightChars="134" w:right="402"/>
              <w:rPr>
                <w:rFonts w:ascii="Times New Roman"/>
                <w:sz w:val="22"/>
                <w:szCs w:val="22"/>
                <w:u w:val="none"/>
              </w:rPr>
            </w:pPr>
            <w:r w:rsidRPr="00BE566E">
              <w:rPr>
                <w:rFonts w:ascii="Times New Roman"/>
                <w:sz w:val="22"/>
                <w:szCs w:val="22"/>
                <w:u w:val="none"/>
              </w:rPr>
              <w:t>2.1</w:t>
            </w:r>
          </w:p>
        </w:tc>
      </w:tr>
    </w:tbl>
    <w:p w14:paraId="65C9FFB6" w14:textId="77777777" w:rsidR="002B6908" w:rsidRPr="007511EB" w:rsidRDefault="002B6908" w:rsidP="007511EB">
      <w:pPr>
        <w:pStyle w:val="affd"/>
        <w:keepNext/>
        <w:overflowPunct w:val="0"/>
        <w:spacing w:beforeLines="0"/>
        <w:rPr>
          <w:lang w:val="en-GB"/>
        </w:rPr>
      </w:pPr>
    </w:p>
    <w:p w14:paraId="1163E3C7" w14:textId="77777777" w:rsidR="002B6908" w:rsidRDefault="002B6908" w:rsidP="007511EB">
      <w:pPr>
        <w:pStyle w:val="affd"/>
        <w:keepNext/>
        <w:overflowPunct w:val="0"/>
        <w:spacing w:beforeLines="0"/>
        <w:rPr>
          <w:lang w:val="en-GB"/>
        </w:rPr>
      </w:pPr>
      <w:r w:rsidRPr="00877DF1">
        <w:rPr>
          <w:rFonts w:hint="eastAsia"/>
          <w:lang w:val="en-GB"/>
        </w:rPr>
        <w:t>註：</w:t>
      </w:r>
      <w:r>
        <w:rPr>
          <w:lang w:val="en-GB"/>
        </w:rPr>
        <w:tab/>
      </w:r>
      <w:r w:rsidRPr="00877DF1">
        <w:rPr>
          <w:rFonts w:hint="eastAsia"/>
          <w:lang w:val="en-GB"/>
        </w:rPr>
        <w:t>這些數字會在取得更多數據後再作修訂。</w:t>
      </w:r>
    </w:p>
    <w:p w14:paraId="40260A08" w14:textId="2C85C195" w:rsidR="002B6908" w:rsidRDefault="002B6908" w:rsidP="007511EB">
      <w:pPr>
        <w:pStyle w:val="affd"/>
        <w:keepNext/>
        <w:overflowPunct w:val="0"/>
        <w:spacing w:beforeLines="0"/>
        <w:rPr>
          <w:lang w:val="en-GB"/>
        </w:rPr>
      </w:pPr>
      <w:r>
        <w:tab/>
      </w:r>
      <w:r w:rsidRPr="00AA590A">
        <w:rPr>
          <w:rFonts w:hint="eastAsia"/>
        </w:rPr>
        <w:t>(</w:t>
      </w:r>
      <w:r w:rsidRPr="00D4337C">
        <w:rPr>
          <w:rFonts w:hint="eastAsia"/>
        </w:rPr>
        <w:t>#</w:t>
      </w:r>
      <w:r w:rsidRPr="00AA590A">
        <w:rPr>
          <w:rFonts w:hint="eastAsia"/>
        </w:rPr>
        <w:t>)</w:t>
      </w:r>
      <w:r w:rsidRPr="00AA590A">
        <w:tab/>
      </w:r>
      <w:r w:rsidR="004F4009">
        <w:rPr>
          <w:rFonts w:hint="eastAsia"/>
        </w:rPr>
        <w:t>佔</w:t>
      </w:r>
      <w:r w:rsidRPr="00BD0E1D">
        <w:rPr>
          <w:rFonts w:hint="eastAsia"/>
        </w:rPr>
        <w:t>以</w:t>
      </w:r>
      <w:r>
        <w:rPr>
          <w:rFonts w:hint="eastAsia"/>
        </w:rPr>
        <w:t>基本價格計算的名義本地生產總值的</w:t>
      </w:r>
      <w:r w:rsidRPr="00BD0E1D">
        <w:rPr>
          <w:rFonts w:hint="eastAsia"/>
        </w:rPr>
        <w:t>百分比</w:t>
      </w:r>
      <w:r w:rsidRPr="00AA590A">
        <w:rPr>
          <w:rFonts w:hint="eastAsia"/>
        </w:rPr>
        <w:t>。</w:t>
      </w:r>
      <w:r>
        <w:rPr>
          <w:rFonts w:hint="eastAsia"/>
        </w:rPr>
        <w:t>只有全年數字。</w:t>
      </w:r>
    </w:p>
    <w:p w14:paraId="0E5BAC5A" w14:textId="77777777" w:rsidR="002B6908" w:rsidRPr="007511EB" w:rsidRDefault="002B6908" w:rsidP="007511EB">
      <w:pPr>
        <w:pStyle w:val="affd"/>
        <w:keepNext/>
        <w:overflowPunct w:val="0"/>
        <w:spacing w:beforeLines="0"/>
        <w:rPr>
          <w:lang w:val="en-GB"/>
        </w:rPr>
      </w:pPr>
      <w:r>
        <w:tab/>
      </w:r>
      <w:r w:rsidRPr="00AA590A">
        <w:rPr>
          <w:rFonts w:hint="eastAsia"/>
        </w:rPr>
        <w:t>(*)</w:t>
      </w:r>
      <w:r w:rsidRPr="00AA590A">
        <w:tab/>
      </w:r>
      <w:r w:rsidRPr="00AA590A">
        <w:rPr>
          <w:rFonts w:hint="eastAsia"/>
        </w:rPr>
        <w:t>增減小於</w:t>
      </w:r>
      <w:r w:rsidRPr="00AA590A">
        <w:rPr>
          <w:rFonts w:hint="eastAsia"/>
        </w:rPr>
        <w:t>0.05%</w:t>
      </w:r>
      <w:r w:rsidRPr="00AA590A">
        <w:rPr>
          <w:rFonts w:hint="eastAsia"/>
        </w:rPr>
        <w:t>。</w:t>
      </w:r>
    </w:p>
    <w:p w14:paraId="6DEFAB32" w14:textId="6299BEF7" w:rsidR="0093046C" w:rsidRDefault="0093046C">
      <w:pPr>
        <w:tabs>
          <w:tab w:val="clear" w:pos="936"/>
          <w:tab w:val="clear" w:pos="1560"/>
          <w:tab w:val="clear" w:pos="2184"/>
          <w:tab w:val="clear" w:pos="2808"/>
        </w:tabs>
        <w:overflowPunct/>
        <w:adjustRightInd/>
        <w:spacing w:after="0" w:line="240" w:lineRule="auto"/>
        <w:jc w:val="left"/>
        <w:textAlignment w:val="auto"/>
        <w:rPr>
          <w:snapToGrid w:val="0"/>
          <w:lang w:val="en-GB"/>
        </w:rPr>
      </w:pPr>
      <w:r>
        <w:rPr>
          <w:snapToGrid w:val="0"/>
          <w:lang w:val="en-GB"/>
        </w:rPr>
        <w:br w:type="page"/>
      </w:r>
    </w:p>
    <w:p w14:paraId="02A8D451" w14:textId="77777777" w:rsidR="002B6908" w:rsidRPr="00643D21" w:rsidRDefault="002B6908" w:rsidP="0093046C">
      <w:pPr>
        <w:pStyle w:val="120"/>
      </w:pPr>
      <w:r w:rsidRPr="00643D21">
        <w:rPr>
          <w:rFonts w:hint="eastAsia"/>
        </w:rPr>
        <w:lastRenderedPageBreak/>
        <w:t>其他經濟發展</w:t>
      </w:r>
    </w:p>
    <w:p w14:paraId="21E5CE04" w14:textId="69A75A94" w:rsidR="002B6908" w:rsidRPr="00643D21" w:rsidRDefault="002B6908" w:rsidP="0093046C">
      <w:pPr>
        <w:rPr>
          <w:lang w:val="en-GB"/>
        </w:rPr>
      </w:pPr>
      <w:r w:rsidRPr="00643D21">
        <w:rPr>
          <w:b/>
          <w:bCs/>
        </w:rPr>
        <w:t>1.1</w:t>
      </w:r>
      <w:r>
        <w:rPr>
          <w:b/>
          <w:bCs/>
        </w:rPr>
        <w:t>4</w:t>
      </w:r>
      <w:r w:rsidRPr="00643D21">
        <w:rPr>
          <w:b/>
          <w:bCs/>
        </w:rPr>
        <w:tab/>
      </w:r>
      <w:r w:rsidRPr="00643D21">
        <w:rPr>
          <w:rFonts w:hint="eastAsia"/>
          <w:lang w:eastAsia="zh-HK"/>
        </w:rPr>
        <w:t>二零二五年</w:t>
      </w:r>
      <w:r w:rsidRPr="00643D21">
        <w:rPr>
          <w:rFonts w:hint="eastAsia"/>
        </w:rPr>
        <w:t>《施政報告》提出清晰目標和</w:t>
      </w:r>
      <w:r w:rsidRPr="00643D21">
        <w:t>落實</w:t>
      </w:r>
      <w:r w:rsidRPr="00643D21">
        <w:rPr>
          <w:rFonts w:hint="eastAsia"/>
        </w:rPr>
        <w:t>藍圖，以加快香港的經濟和社會發展，推動香港全面融入國家發展大局，</w:t>
      </w:r>
      <w:r w:rsidR="008671D6">
        <w:rPr>
          <w:rFonts w:hint="eastAsia"/>
          <w:lang w:val="en-GB"/>
        </w:rPr>
        <w:t>發揮深化</w:t>
      </w:r>
      <w:r w:rsidRPr="00643D21">
        <w:rPr>
          <w:rFonts w:hint="eastAsia"/>
        </w:rPr>
        <w:t>香港在國際</w:t>
      </w:r>
      <w:r w:rsidR="008671D6">
        <w:rPr>
          <w:rFonts w:hint="eastAsia"/>
        </w:rPr>
        <w:t>交往</w:t>
      </w:r>
      <w:r w:rsidRPr="00643D21">
        <w:rPr>
          <w:rFonts w:hint="eastAsia"/>
        </w:rPr>
        <w:t>合作</w:t>
      </w:r>
      <w:r>
        <w:rPr>
          <w:rFonts w:hint="eastAsia"/>
          <w:lang w:eastAsia="zh-HK"/>
        </w:rPr>
        <w:t>方面</w:t>
      </w:r>
      <w:r w:rsidRPr="00643D21">
        <w:rPr>
          <w:rFonts w:hint="eastAsia"/>
        </w:rPr>
        <w:t>的</w:t>
      </w:r>
      <w:r w:rsidRPr="00643D21">
        <w:rPr>
          <w:rFonts w:hint="eastAsia"/>
          <w:lang w:eastAsia="zh-HK"/>
        </w:rPr>
        <w:t>作用</w:t>
      </w:r>
      <w:r w:rsidRPr="00643D21">
        <w:rPr>
          <w:rFonts w:hint="eastAsia"/>
        </w:rPr>
        <w:t>。《施政報告》圍繞發展經濟和改善民生兩大主軸，短、中、長期政策並舉。部分主要經濟措施包括：</w:t>
      </w:r>
    </w:p>
    <w:p w14:paraId="63F3E90D" w14:textId="77777777" w:rsidR="002B6908" w:rsidRPr="00643D21" w:rsidRDefault="002B6908" w:rsidP="00CB7B68">
      <w:pPr>
        <w:pStyle w:val="a"/>
        <w:spacing w:after="0"/>
      </w:pPr>
      <w:r w:rsidRPr="00643D21">
        <w:rPr>
          <w:rFonts w:hint="eastAsia"/>
        </w:rPr>
        <w:t>加快發展北部都會區；</w:t>
      </w:r>
    </w:p>
    <w:p w14:paraId="1F408F89" w14:textId="23D4AEAD" w:rsidR="002B6908" w:rsidRPr="00643D21" w:rsidRDefault="002B6908" w:rsidP="00CB7B68">
      <w:pPr>
        <w:pStyle w:val="a"/>
        <w:spacing w:after="0"/>
      </w:pPr>
      <w:r w:rsidRPr="00643D21">
        <w:rPr>
          <w:rFonts w:hint="eastAsia"/>
        </w:rPr>
        <w:t>推動產業發展和革新，包括制訂</w:t>
      </w:r>
      <w:r w:rsidR="00485FA9" w:rsidRPr="00643D21">
        <w:rPr>
          <w:rFonts w:hint="eastAsia"/>
        </w:rPr>
        <w:t>促進招商</w:t>
      </w:r>
      <w:r w:rsidR="00485FA9">
        <w:rPr>
          <w:rFonts w:hint="eastAsia"/>
          <w:lang w:eastAsia="zh-HK"/>
        </w:rPr>
        <w:t>的</w:t>
      </w:r>
      <w:r w:rsidRPr="00643D21">
        <w:rPr>
          <w:rFonts w:hint="eastAsia"/>
        </w:rPr>
        <w:t>優惠政策包；</w:t>
      </w:r>
    </w:p>
    <w:p w14:paraId="0ACF3F42" w14:textId="77777777" w:rsidR="002B6908" w:rsidRPr="00643D21" w:rsidRDefault="002B6908" w:rsidP="00CB7B68">
      <w:pPr>
        <w:pStyle w:val="a"/>
        <w:spacing w:after="0"/>
      </w:pPr>
      <w:r w:rsidRPr="00643D21">
        <w:rPr>
          <w:rFonts w:hint="eastAsia"/>
        </w:rPr>
        <w:t>鞏固香港的傳統優勢</w:t>
      </w:r>
      <w:r w:rsidRPr="00643D21">
        <w:rPr>
          <w:rFonts w:hint="eastAsia"/>
          <w:lang w:eastAsia="zh-HK"/>
        </w:rPr>
        <w:t>，提升香港</w:t>
      </w:r>
      <w:r w:rsidRPr="00643D21">
        <w:rPr>
          <w:rFonts w:hint="eastAsia"/>
        </w:rPr>
        <w:t>作為國際金融、貿易</w:t>
      </w:r>
      <w:r w:rsidRPr="00643D21">
        <w:rPr>
          <w:rFonts w:hint="eastAsia"/>
          <w:lang w:eastAsia="zh-HK"/>
        </w:rPr>
        <w:t>和</w:t>
      </w:r>
      <w:r w:rsidRPr="00643D21">
        <w:rPr>
          <w:rFonts w:hint="eastAsia"/>
        </w:rPr>
        <w:t>航運</w:t>
      </w:r>
      <w:r w:rsidRPr="00643D21">
        <w:rPr>
          <w:rFonts w:hint="eastAsia"/>
          <w:lang w:eastAsia="zh-HK"/>
        </w:rPr>
        <w:t>中心、</w:t>
      </w:r>
      <w:r w:rsidRPr="00643D21">
        <w:rPr>
          <w:rFonts w:hint="eastAsia"/>
        </w:rPr>
        <w:t>航空樞紐，以及國際法律及爭議解決服務中心的地位；</w:t>
      </w:r>
    </w:p>
    <w:p w14:paraId="4BBA7B34" w14:textId="77777777" w:rsidR="002B6908" w:rsidRPr="00643D21" w:rsidRDefault="002B6908" w:rsidP="00CB7B68">
      <w:pPr>
        <w:pStyle w:val="a"/>
        <w:spacing w:after="0"/>
      </w:pPr>
      <w:r w:rsidRPr="00643D21">
        <w:rPr>
          <w:rFonts w:hint="eastAsia"/>
        </w:rPr>
        <w:t>推動教育、科技、人才一體化發展，以期建立豐富的人才資源、知識儲備和科技創新能力，從而提升香港的競爭力；</w:t>
      </w:r>
      <w:r>
        <w:rPr>
          <w:rFonts w:hint="eastAsia"/>
          <w:lang w:eastAsia="zh-HK"/>
        </w:rPr>
        <w:t>以</w:t>
      </w:r>
      <w:r w:rsidRPr="00643D21">
        <w:rPr>
          <w:rFonts w:hint="eastAsia"/>
        </w:rPr>
        <w:t>及</w:t>
      </w:r>
    </w:p>
    <w:p w14:paraId="4C154485" w14:textId="77777777" w:rsidR="002B6908" w:rsidRPr="00643D21" w:rsidRDefault="002B6908" w:rsidP="0093046C">
      <w:pPr>
        <w:pStyle w:val="a"/>
      </w:pPr>
      <w:r w:rsidRPr="00643D21">
        <w:rPr>
          <w:rFonts w:hint="eastAsia"/>
        </w:rPr>
        <w:t>推動文化、體育、旅遊協同發展，為經濟注入新動力</w:t>
      </w:r>
      <w:r w:rsidRPr="00643D21">
        <w:rPr>
          <w:rFonts w:hint="eastAsia"/>
          <w:lang w:eastAsia="zh-HK"/>
        </w:rPr>
        <w:t>和</w:t>
      </w:r>
      <w:r w:rsidRPr="00643D21">
        <w:rPr>
          <w:rFonts w:hint="eastAsia"/>
        </w:rPr>
        <w:t>提升香港的吸引力。</w:t>
      </w:r>
    </w:p>
    <w:p w14:paraId="76DD196E" w14:textId="2C2F1D52" w:rsidR="002B6908" w:rsidRDefault="002B6908" w:rsidP="0093046C">
      <w:r w:rsidRPr="00643D21">
        <w:rPr>
          <w:b/>
        </w:rPr>
        <w:t>1.1</w:t>
      </w:r>
      <w:r w:rsidR="00AC34CF">
        <w:rPr>
          <w:rFonts w:hint="eastAsia"/>
          <w:b/>
        </w:rPr>
        <w:t>5</w:t>
      </w:r>
      <w:r w:rsidRPr="00643D21">
        <w:rPr>
          <w:b/>
        </w:rPr>
        <w:tab/>
      </w:r>
      <w:r>
        <w:rPr>
          <w:rFonts w:hint="eastAsia"/>
        </w:rPr>
        <w:t>香港在多方面的優勢和競爭力備受全球認同，多項排名</w:t>
      </w:r>
      <w:r w:rsidR="00DD24A5">
        <w:rPr>
          <w:rFonts w:hint="eastAsia"/>
          <w:lang w:eastAsia="zh-HK"/>
        </w:rPr>
        <w:t>在</w:t>
      </w:r>
      <w:r w:rsidR="00DD24A5" w:rsidRPr="00D3545C">
        <w:rPr>
          <w:rFonts w:hint="eastAsia"/>
        </w:rPr>
        <w:t>二零二五年</w:t>
      </w:r>
      <w:r w:rsidRPr="00D3545C">
        <w:rPr>
          <w:rFonts w:hint="eastAsia"/>
        </w:rPr>
        <w:t>均見</w:t>
      </w:r>
      <w:r w:rsidR="008671D6">
        <w:rPr>
          <w:rFonts w:hint="eastAsia"/>
        </w:rPr>
        <w:t>進步</w:t>
      </w:r>
      <w:r>
        <w:rPr>
          <w:rFonts w:hint="eastAsia"/>
        </w:rPr>
        <w:t>。</w:t>
      </w:r>
      <w:r w:rsidRPr="00116932">
        <w:rPr>
          <w:rFonts w:hint="eastAsia"/>
        </w:rPr>
        <w:t>在菲沙研究所發布的《世界經濟自由度</w:t>
      </w:r>
      <w:r w:rsidR="0025509F">
        <w:t> </w:t>
      </w:r>
      <w:r w:rsidRPr="00116932">
        <w:rPr>
          <w:rFonts w:hint="eastAsia"/>
        </w:rPr>
        <w:t>2025</w:t>
      </w:r>
      <w:r w:rsidR="0025509F">
        <w:t> </w:t>
      </w:r>
      <w:r w:rsidRPr="00116932">
        <w:rPr>
          <w:rFonts w:hint="eastAsia"/>
        </w:rPr>
        <w:t>年度報告》中，香港繼續獲評為全球最自由經濟體。</w:t>
      </w:r>
      <w:r>
        <w:rPr>
          <w:rFonts w:hint="eastAsia"/>
        </w:rPr>
        <w:t>同時，</w:t>
      </w:r>
      <w:r w:rsidRPr="00EF7F4F">
        <w:rPr>
          <w:rFonts w:hint="eastAsia"/>
        </w:rPr>
        <w:t>在國際管理發展學院發布的《</w:t>
      </w:r>
      <w:r>
        <w:rPr>
          <w:rFonts w:hint="eastAsia"/>
        </w:rPr>
        <w:t>2025</w:t>
      </w:r>
      <w:r w:rsidRPr="00EF7F4F">
        <w:rPr>
          <w:rFonts w:hint="eastAsia"/>
        </w:rPr>
        <w:t>年世界競爭力年報》中，香港的排名連續第二年上升，</w:t>
      </w:r>
      <w:r w:rsidR="00D4337C">
        <w:rPr>
          <w:rFonts w:hint="eastAsia"/>
        </w:rPr>
        <w:t>位</w:t>
      </w:r>
      <w:r w:rsidRPr="00EF7F4F">
        <w:rPr>
          <w:rFonts w:hint="eastAsia"/>
        </w:rPr>
        <w:t>居全球第三位，是香港自二零一九年後首次重返全球三甲。金融方面</w:t>
      </w:r>
      <w:r>
        <w:rPr>
          <w:rFonts w:hint="eastAsia"/>
        </w:rPr>
        <w:t>，</w:t>
      </w:r>
      <w:r w:rsidRPr="00EF7F4F">
        <w:rPr>
          <w:rFonts w:hint="eastAsia"/>
        </w:rPr>
        <w:t>在</w:t>
      </w:r>
      <w:r w:rsidR="0025509F">
        <w:t> </w:t>
      </w:r>
      <w:r w:rsidRPr="00EF7F4F">
        <w:rPr>
          <w:rFonts w:hint="eastAsia"/>
        </w:rPr>
        <w:t>Z/Yen</w:t>
      </w:r>
      <w:r w:rsidR="0025509F">
        <w:t> </w:t>
      </w:r>
      <w:r w:rsidRPr="00EF7F4F">
        <w:rPr>
          <w:rFonts w:hint="eastAsia"/>
        </w:rPr>
        <w:t>集團與中國</w:t>
      </w:r>
      <w:r w:rsidRPr="00EF7F4F">
        <w:rPr>
          <w:rFonts w:hint="eastAsia"/>
        </w:rPr>
        <w:t>(</w:t>
      </w:r>
      <w:r w:rsidRPr="00EF7F4F">
        <w:rPr>
          <w:rFonts w:hint="eastAsia"/>
        </w:rPr>
        <w:t>深圳</w:t>
      </w:r>
      <w:r w:rsidRPr="00EF7F4F">
        <w:rPr>
          <w:rFonts w:hint="eastAsia"/>
        </w:rPr>
        <w:t>)</w:t>
      </w:r>
      <w:r w:rsidRPr="00EF7F4F">
        <w:rPr>
          <w:rFonts w:hint="eastAsia"/>
        </w:rPr>
        <w:t>綜合開發研究院發布的第</w:t>
      </w:r>
      <w:r w:rsidR="0025509F">
        <w:t> </w:t>
      </w:r>
      <w:r w:rsidRPr="00EF7F4F">
        <w:rPr>
          <w:rFonts w:hint="eastAsia"/>
        </w:rPr>
        <w:t>3</w:t>
      </w:r>
      <w:r>
        <w:rPr>
          <w:rFonts w:hint="eastAsia"/>
        </w:rPr>
        <w:t>8</w:t>
      </w:r>
      <w:r w:rsidR="0025509F">
        <w:t> </w:t>
      </w:r>
      <w:r w:rsidRPr="00EF7F4F">
        <w:rPr>
          <w:rFonts w:hint="eastAsia"/>
        </w:rPr>
        <w:t>期《全球金融中心指數》報告中</w:t>
      </w:r>
      <w:r>
        <w:rPr>
          <w:rFonts w:hint="eastAsia"/>
        </w:rPr>
        <w:t>，香港的排名穩居全球第三和亞太區第一，與位列第一</w:t>
      </w:r>
      <w:r>
        <w:rPr>
          <w:rFonts w:hint="eastAsia"/>
        </w:rPr>
        <w:t>(</w:t>
      </w:r>
      <w:r>
        <w:rPr>
          <w:rFonts w:hint="eastAsia"/>
        </w:rPr>
        <w:t>紐約</w:t>
      </w:r>
      <w:r>
        <w:rPr>
          <w:rFonts w:hint="eastAsia"/>
        </w:rPr>
        <w:t>)</w:t>
      </w:r>
      <w:r>
        <w:rPr>
          <w:rFonts w:hint="eastAsia"/>
        </w:rPr>
        <w:t>和第二</w:t>
      </w:r>
      <w:r>
        <w:rPr>
          <w:rFonts w:hint="eastAsia"/>
        </w:rPr>
        <w:t>(</w:t>
      </w:r>
      <w:r>
        <w:rPr>
          <w:rFonts w:hint="eastAsia"/>
        </w:rPr>
        <w:t>倫敦</w:t>
      </w:r>
      <w:r>
        <w:rPr>
          <w:rFonts w:hint="eastAsia"/>
        </w:rPr>
        <w:t>)</w:t>
      </w:r>
      <w:r>
        <w:rPr>
          <w:rFonts w:hint="eastAsia"/>
        </w:rPr>
        <w:t>的評分差距亦</w:t>
      </w:r>
      <w:r w:rsidRPr="00745914">
        <w:rPr>
          <w:rFonts w:hint="eastAsia"/>
        </w:rPr>
        <w:t>隨着整體評分上升</w:t>
      </w:r>
      <w:r>
        <w:rPr>
          <w:rFonts w:hint="eastAsia"/>
        </w:rPr>
        <w:t>而</w:t>
      </w:r>
      <w:r w:rsidR="00D4337C">
        <w:rPr>
          <w:rFonts w:hint="eastAsia"/>
        </w:rPr>
        <w:t>收</w:t>
      </w:r>
      <w:r>
        <w:rPr>
          <w:rFonts w:hint="eastAsia"/>
        </w:rPr>
        <w:t>窄。在創新和數碼發展方面，</w:t>
      </w:r>
      <w:r w:rsidRPr="006E6A56">
        <w:rPr>
          <w:rFonts w:hint="eastAsia"/>
        </w:rPr>
        <w:t>在國際管理發展學院發布</w:t>
      </w:r>
      <w:r w:rsidRPr="0025509F">
        <w:rPr>
          <w:rFonts w:hint="eastAsia"/>
          <w:spacing w:val="32"/>
        </w:rPr>
        <w:t>的《</w:t>
      </w:r>
      <w:r w:rsidRPr="0025509F">
        <w:rPr>
          <w:rFonts w:hint="eastAsia"/>
          <w:spacing w:val="32"/>
        </w:rPr>
        <w:t>2025</w:t>
      </w:r>
      <w:r w:rsidR="0025509F">
        <w:rPr>
          <w:spacing w:val="32"/>
        </w:rPr>
        <w:t> </w:t>
      </w:r>
      <w:r w:rsidRPr="0025509F">
        <w:rPr>
          <w:rFonts w:hint="eastAsia"/>
          <w:spacing w:val="32"/>
        </w:rPr>
        <w:t>年世界數碼競爭力排名》中，香港的排名上升三位至全球第四。在世界知識產權組織發布的《</w:t>
      </w:r>
      <w:r w:rsidRPr="0025509F">
        <w:rPr>
          <w:rFonts w:hint="eastAsia"/>
          <w:spacing w:val="32"/>
        </w:rPr>
        <w:t>2025</w:t>
      </w:r>
      <w:r w:rsidR="0025509F">
        <w:rPr>
          <w:spacing w:val="32"/>
        </w:rPr>
        <w:t> </w:t>
      </w:r>
      <w:r w:rsidRPr="0025509F">
        <w:rPr>
          <w:rFonts w:hint="eastAsia"/>
          <w:spacing w:val="32"/>
        </w:rPr>
        <w:t>年全球創新指數》中，「深圳—香港—廣州」</w:t>
      </w:r>
      <w:r w:rsidRPr="006E6A56">
        <w:rPr>
          <w:rFonts w:hint="eastAsia"/>
        </w:rPr>
        <w:t>集群在百強創新集群中位列第一，而香港的排名上升三位至</w:t>
      </w:r>
      <w:r w:rsidR="00D4337C" w:rsidRPr="006E6A56">
        <w:rPr>
          <w:rFonts w:hint="eastAsia"/>
        </w:rPr>
        <w:t>全球</w:t>
      </w:r>
      <w:r w:rsidRPr="006E6A56">
        <w:rPr>
          <w:rFonts w:hint="eastAsia"/>
        </w:rPr>
        <w:t>第十五位。在國際管理發展學院發布的《</w:t>
      </w:r>
      <w:r w:rsidRPr="006E6A56">
        <w:rPr>
          <w:rFonts w:hint="eastAsia"/>
        </w:rPr>
        <w:t>2025</w:t>
      </w:r>
      <w:r w:rsidRPr="006E6A56">
        <w:rPr>
          <w:rFonts w:hint="eastAsia"/>
        </w:rPr>
        <w:t>年世界人才排名》中，香港的排名由去年的第九位躍升至</w:t>
      </w:r>
      <w:r w:rsidR="009A0534" w:rsidRPr="006E6A56">
        <w:rPr>
          <w:rFonts w:hint="eastAsia"/>
        </w:rPr>
        <w:t>全球</w:t>
      </w:r>
      <w:r w:rsidRPr="006E6A56">
        <w:rPr>
          <w:rFonts w:hint="eastAsia"/>
        </w:rPr>
        <w:t>第四位，是歷來最高排名，亦為亞洲之冠</w:t>
      </w:r>
      <w:r>
        <w:rPr>
          <w:rFonts w:hint="eastAsia"/>
        </w:rPr>
        <w:t>。</w:t>
      </w:r>
    </w:p>
    <w:p w14:paraId="242854CC" w14:textId="77777777" w:rsidR="00CB7B68" w:rsidRDefault="00CB7B68">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DFDCAF6" w14:textId="036711F3" w:rsidR="002B6908" w:rsidRPr="00643D21" w:rsidRDefault="002B6908" w:rsidP="0093046C">
      <w:pPr>
        <w:pStyle w:val="120"/>
      </w:pPr>
      <w:r w:rsidRPr="00643D21">
        <w:rPr>
          <w:rFonts w:hint="eastAsia"/>
        </w:rPr>
        <w:lastRenderedPageBreak/>
        <w:t>註釋</w:t>
      </w:r>
      <w:r w:rsidRPr="00643D21">
        <w:rPr>
          <w:b/>
        </w:rPr>
        <w:t>：</w:t>
      </w:r>
    </w:p>
    <w:p w14:paraId="1C600CD8" w14:textId="77777777" w:rsidR="002B6908" w:rsidRPr="00643D21" w:rsidRDefault="002B6908" w:rsidP="0093046C">
      <w:pPr>
        <w:pStyle w:val="afe"/>
        <w:rPr>
          <w:lang w:eastAsia="zh-HK"/>
        </w:rPr>
      </w:pPr>
      <w:r w:rsidRPr="00643D21">
        <w:rPr>
          <w:lang w:eastAsia="zh-HK"/>
        </w:rPr>
        <w:t>(1)</w:t>
      </w:r>
      <w:r w:rsidRPr="00643D21">
        <w:rPr>
          <w:lang w:eastAsia="zh-HK"/>
        </w:rPr>
        <w:tab/>
      </w:r>
      <w:r w:rsidRPr="00643D21">
        <w:rPr>
          <w:rFonts w:hint="eastAsia"/>
          <w:lang w:eastAsia="zh-HK"/>
        </w:rPr>
        <w:t>本地生產總值是指定期間內</w:t>
      </w:r>
      <w:r w:rsidRPr="00643D21">
        <w:rPr>
          <w:lang w:eastAsia="zh-HK"/>
        </w:rPr>
        <w:t>(</w:t>
      </w:r>
      <w:r w:rsidRPr="00643D21">
        <w:rPr>
          <w:rFonts w:hint="eastAsia"/>
          <w:lang w:eastAsia="zh-HK"/>
        </w:rPr>
        <w:t>例如一曆年或一季</w:t>
      </w:r>
      <w:r w:rsidRPr="00643D21">
        <w:rPr>
          <w:lang w:eastAsia="zh-HK"/>
        </w:rPr>
        <w:t>)</w:t>
      </w:r>
      <w:r w:rsidRPr="00643D21">
        <w:rPr>
          <w:rFonts w:hint="eastAsia"/>
          <w:lang w:eastAsia="zh-HK"/>
        </w:rPr>
        <w:t>，某經濟體未扣除固定資本消耗的總產量淨值。從開支方面估算，本地生產總值是把貨物和服務的最終總開支</w:t>
      </w:r>
      <w:r w:rsidRPr="00643D21">
        <w:rPr>
          <w:lang w:eastAsia="zh-HK"/>
        </w:rPr>
        <w:t>(</w:t>
      </w:r>
      <w:r w:rsidRPr="00643D21">
        <w:rPr>
          <w:rFonts w:hint="eastAsia"/>
          <w:lang w:eastAsia="zh-HK"/>
        </w:rPr>
        <w:t>包括私人消費開支、政府消費開支、本地固定資本形成總額、存貨增減，以及貨物出口及服務輸出</w:t>
      </w:r>
      <w:r w:rsidRPr="00643D21">
        <w:rPr>
          <w:lang w:eastAsia="zh-HK"/>
        </w:rPr>
        <w:t>)</w:t>
      </w:r>
      <w:r w:rsidRPr="00643D21">
        <w:rPr>
          <w:rFonts w:hint="eastAsia"/>
          <w:lang w:eastAsia="zh-HK"/>
        </w:rPr>
        <w:t>的總和，減去貨物進口和服務輸入。</w:t>
      </w:r>
    </w:p>
    <w:p w14:paraId="2BD98D44" w14:textId="77777777" w:rsidR="002B6908" w:rsidRDefault="002B6908" w:rsidP="0093046C">
      <w:pPr>
        <w:pStyle w:val="afe"/>
        <w:rPr>
          <w:lang w:eastAsia="zh-HK"/>
        </w:rPr>
      </w:pPr>
      <w:r w:rsidRPr="00643D21">
        <w:rPr>
          <w:lang w:eastAsia="zh-HK"/>
        </w:rPr>
        <w:t>(2)</w:t>
      </w:r>
      <w:r w:rsidRPr="00643D21">
        <w:rPr>
          <w:lang w:eastAsia="zh-HK"/>
        </w:rPr>
        <w:tab/>
      </w:r>
      <w:r w:rsidRPr="00643D21">
        <w:rPr>
          <w:rFonts w:hint="eastAsia"/>
          <w:lang w:eastAsia="zh-HK"/>
        </w:rPr>
        <w:t>經季節性調整後與上季度比較的本地生產總值數列，已扣除每年約於同一時間出現而幅度相若的變動，為了解本地生產總值的趨勢</w:t>
      </w:r>
      <w:r w:rsidRPr="00643D21">
        <w:rPr>
          <w:lang w:eastAsia="zh-HK"/>
        </w:rPr>
        <w:t>(</w:t>
      </w:r>
      <w:r w:rsidRPr="00643D21">
        <w:rPr>
          <w:rFonts w:hint="eastAsia"/>
          <w:lang w:eastAsia="zh-HK"/>
        </w:rPr>
        <w:t>特別是當中的轉折點</w:t>
      </w:r>
      <w:r w:rsidRPr="00643D21">
        <w:rPr>
          <w:lang w:eastAsia="zh-HK"/>
        </w:rPr>
        <w:t>)</w:t>
      </w:r>
      <w:r w:rsidRPr="00643D21">
        <w:rPr>
          <w:rFonts w:hint="eastAsia"/>
          <w:lang w:eastAsia="zh-HK"/>
        </w:rPr>
        <w:t>提供另一角度。詳細研究後，會發現整體本地生產總值及其中一些主要組成項目均有季節性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p w14:paraId="540D3887" w14:textId="77777777" w:rsidR="002B6908" w:rsidRPr="00787497" w:rsidRDefault="002B6908" w:rsidP="007F3E43"/>
    <w:p w14:paraId="058E842A" w14:textId="18AED5DF" w:rsidR="006D5A4A" w:rsidRPr="002B6908" w:rsidRDefault="006D5A4A" w:rsidP="002B6908"/>
    <w:sectPr w:rsidR="006D5A4A" w:rsidRPr="002B6908" w:rsidSect="002C035B">
      <w:footerReference w:type="default" r:id="rId14"/>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16968" w14:textId="77777777" w:rsidR="00265E5C" w:rsidRDefault="00265E5C">
      <w:pPr>
        <w:spacing w:after="0" w:line="240" w:lineRule="auto"/>
      </w:pPr>
      <w:r>
        <w:separator/>
      </w:r>
    </w:p>
  </w:endnote>
  <w:endnote w:type="continuationSeparator" w:id="0">
    <w:p w14:paraId="2BD53597" w14:textId="77777777" w:rsidR="00265E5C" w:rsidRDefault="00265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華康超明體">
    <w:panose1 w:val="02020C09000000000000"/>
    <w:charset w:val="88"/>
    <w:family w:val="modern"/>
    <w:pitch w:val="fixed"/>
    <w:sig w:usb0="800002E3" w:usb1="3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3AA8C" w14:textId="77F1DDCA" w:rsidR="00265E5C" w:rsidRPr="00F558B4" w:rsidRDefault="00265E5C"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DD7AAB">
      <w:rPr>
        <w:rStyle w:val="af"/>
        <w:noProof/>
        <w:sz w:val="24"/>
        <w:szCs w:val="24"/>
      </w:rPr>
      <w:t>11</w:t>
    </w:r>
    <w:r w:rsidRPr="00F558B4">
      <w:rPr>
        <w:rStyle w:val="af"/>
        <w:sz w:val="24"/>
        <w:szCs w:val="24"/>
      </w:rPr>
      <w:fldChar w:fldCharType="end"/>
    </w:r>
  </w:p>
  <w:p w14:paraId="4B6286BD" w14:textId="77777777" w:rsidR="00265E5C" w:rsidRDefault="00265E5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EEB1E" w14:textId="77777777" w:rsidR="00265E5C" w:rsidRDefault="00265E5C" w:rsidP="00557990">
      <w:pPr>
        <w:spacing w:after="0" w:line="240" w:lineRule="auto"/>
        <w:jc w:val="center"/>
      </w:pPr>
      <w:r>
        <w:separator/>
      </w:r>
    </w:p>
  </w:footnote>
  <w:footnote w:type="continuationSeparator" w:id="0">
    <w:p w14:paraId="245A5175" w14:textId="77777777" w:rsidR="00265E5C" w:rsidRDefault="00265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3EFEE754"/>
    <w:lvl w:ilvl="0">
      <w:start w:val="1"/>
      <w:numFmt w:val="bullet"/>
      <w:pStyle w:val="a"/>
      <w:lvlText w:val=""/>
      <w:lvlJc w:val="left"/>
      <w:pPr>
        <w:ind w:left="480" w:hanging="480"/>
      </w:pPr>
      <w:rPr>
        <w:rFonts w:ascii="Wingdings" w:hAnsi="Wingdings" w:hint="default"/>
        <w:sz w:val="16"/>
      </w:rPr>
    </w:lvl>
  </w:abstractNum>
  <w:abstractNum w:abstractNumId="1"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 w15:restartNumberingAfterBreak="0">
    <w:nsid w:val="44250612"/>
    <w:multiLevelType w:val="hybridMultilevel"/>
    <w:tmpl w:val="082E2B3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4" w15:restartNumberingAfterBreak="0">
    <w:nsid w:val="565D679E"/>
    <w:multiLevelType w:val="hybridMultilevel"/>
    <w:tmpl w:val="D812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177685"/>
    <w:multiLevelType w:val="hybridMultilevel"/>
    <w:tmpl w:val="19A63796"/>
    <w:lvl w:ilvl="0" w:tplc="885009AA">
      <w:start w:val="1"/>
      <w:numFmt w:val="bullet"/>
      <w:lvlText w:val=""/>
      <w:lvlJc w:val="left"/>
      <w:pPr>
        <w:ind w:left="480" w:hanging="480"/>
      </w:pPr>
      <w:rPr>
        <w:rFonts w:ascii="Wingdings" w:hAnsi="Wingdings" w:hint="default"/>
        <w:sz w:val="24"/>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6"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1635"/>
    <w:multiLevelType w:val="hybridMultilevel"/>
    <w:tmpl w:val="3D74D5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num w:numId="1">
    <w:abstractNumId w:val="0"/>
  </w:num>
  <w:num w:numId="2">
    <w:abstractNumId w:val="1"/>
  </w:num>
  <w:num w:numId="3">
    <w:abstractNumId w:val="3"/>
  </w:num>
  <w:num w:numId="4">
    <w:abstractNumId w:val="6"/>
  </w:num>
  <w:num w:numId="5">
    <w:abstractNumId w:val="2"/>
  </w:num>
  <w:num w:numId="6">
    <w:abstractNumId w:val="7"/>
  </w:num>
  <w:num w:numId="7">
    <w:abstractNumId w:val="3"/>
  </w:num>
  <w:num w:numId="8">
    <w:abstractNumId w:val="3"/>
  </w:num>
  <w:num w:numId="9">
    <w:abstractNumId w:val="3"/>
  </w:num>
  <w:num w:numId="10">
    <w:abstractNumId w:val="8"/>
  </w:num>
  <w:num w:numId="11">
    <w:abstractNumId w:val="4"/>
  </w:num>
  <w:num w:numId="12">
    <w:abstractNumId w:val="3"/>
  </w:num>
  <w:num w:numId="13">
    <w:abstractNumId w:val="3"/>
  </w:num>
  <w:num w:numId="14">
    <w:abstractNumId w:val="5"/>
  </w:num>
  <w:num w:numId="1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bordersDoNotSurroundHeader/>
  <w:bordersDoNotSurroundFooter/>
  <w:proofState w:spelling="clean"/>
  <w:defaultTabStop w:val="47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18F9"/>
    <w:rsid w:val="00001CB3"/>
    <w:rsid w:val="00001E46"/>
    <w:rsid w:val="0000223E"/>
    <w:rsid w:val="000022B1"/>
    <w:rsid w:val="000023A3"/>
    <w:rsid w:val="000025CC"/>
    <w:rsid w:val="0000266D"/>
    <w:rsid w:val="00002BB6"/>
    <w:rsid w:val="00002BC0"/>
    <w:rsid w:val="00003A6C"/>
    <w:rsid w:val="00003C2B"/>
    <w:rsid w:val="00003C89"/>
    <w:rsid w:val="000042E9"/>
    <w:rsid w:val="00004352"/>
    <w:rsid w:val="000057E4"/>
    <w:rsid w:val="00005EC3"/>
    <w:rsid w:val="000074BE"/>
    <w:rsid w:val="00011B83"/>
    <w:rsid w:val="000120E9"/>
    <w:rsid w:val="000125A4"/>
    <w:rsid w:val="0001331F"/>
    <w:rsid w:val="0001384D"/>
    <w:rsid w:val="00013DD2"/>
    <w:rsid w:val="000145DF"/>
    <w:rsid w:val="00014B92"/>
    <w:rsid w:val="00014FC4"/>
    <w:rsid w:val="00015606"/>
    <w:rsid w:val="000159DF"/>
    <w:rsid w:val="00015F16"/>
    <w:rsid w:val="00016EDB"/>
    <w:rsid w:val="00017B98"/>
    <w:rsid w:val="00020E6D"/>
    <w:rsid w:val="000214E2"/>
    <w:rsid w:val="0002192E"/>
    <w:rsid w:val="00021F34"/>
    <w:rsid w:val="00022534"/>
    <w:rsid w:val="0002368A"/>
    <w:rsid w:val="000242A6"/>
    <w:rsid w:val="00024F9C"/>
    <w:rsid w:val="0002585A"/>
    <w:rsid w:val="00025BD1"/>
    <w:rsid w:val="00025C1D"/>
    <w:rsid w:val="000269C0"/>
    <w:rsid w:val="00027370"/>
    <w:rsid w:val="000307ED"/>
    <w:rsid w:val="000307F6"/>
    <w:rsid w:val="00030DEC"/>
    <w:rsid w:val="00031896"/>
    <w:rsid w:val="00031A98"/>
    <w:rsid w:val="00031ABA"/>
    <w:rsid w:val="00031C17"/>
    <w:rsid w:val="0003253D"/>
    <w:rsid w:val="00032A11"/>
    <w:rsid w:val="00032CC7"/>
    <w:rsid w:val="000337B2"/>
    <w:rsid w:val="00034505"/>
    <w:rsid w:val="00034681"/>
    <w:rsid w:val="0003473B"/>
    <w:rsid w:val="000348C5"/>
    <w:rsid w:val="00035645"/>
    <w:rsid w:val="0003628E"/>
    <w:rsid w:val="000368CD"/>
    <w:rsid w:val="00036FE0"/>
    <w:rsid w:val="00037C33"/>
    <w:rsid w:val="00040BA1"/>
    <w:rsid w:val="000412E2"/>
    <w:rsid w:val="0004189F"/>
    <w:rsid w:val="0004224E"/>
    <w:rsid w:val="00042759"/>
    <w:rsid w:val="00042D40"/>
    <w:rsid w:val="00042F76"/>
    <w:rsid w:val="000437CD"/>
    <w:rsid w:val="00043C3B"/>
    <w:rsid w:val="000445C4"/>
    <w:rsid w:val="00044670"/>
    <w:rsid w:val="0004474D"/>
    <w:rsid w:val="00045983"/>
    <w:rsid w:val="00045B54"/>
    <w:rsid w:val="00045CC2"/>
    <w:rsid w:val="00046CF4"/>
    <w:rsid w:val="00046EE9"/>
    <w:rsid w:val="0004768F"/>
    <w:rsid w:val="00047F61"/>
    <w:rsid w:val="000500D9"/>
    <w:rsid w:val="000517B4"/>
    <w:rsid w:val="00051F4D"/>
    <w:rsid w:val="000525D2"/>
    <w:rsid w:val="00052C8A"/>
    <w:rsid w:val="000532F2"/>
    <w:rsid w:val="00054128"/>
    <w:rsid w:val="00054649"/>
    <w:rsid w:val="00055ACE"/>
    <w:rsid w:val="00055E27"/>
    <w:rsid w:val="00056257"/>
    <w:rsid w:val="0005636E"/>
    <w:rsid w:val="0005767D"/>
    <w:rsid w:val="00057BD2"/>
    <w:rsid w:val="000602D2"/>
    <w:rsid w:val="000619ED"/>
    <w:rsid w:val="00062451"/>
    <w:rsid w:val="00063F76"/>
    <w:rsid w:val="00064E11"/>
    <w:rsid w:val="00065858"/>
    <w:rsid w:val="00066090"/>
    <w:rsid w:val="000662D9"/>
    <w:rsid w:val="00066D6B"/>
    <w:rsid w:val="00066F97"/>
    <w:rsid w:val="0006777D"/>
    <w:rsid w:val="00070B81"/>
    <w:rsid w:val="00070EF2"/>
    <w:rsid w:val="00071774"/>
    <w:rsid w:val="00072021"/>
    <w:rsid w:val="00072198"/>
    <w:rsid w:val="00072792"/>
    <w:rsid w:val="00072A97"/>
    <w:rsid w:val="000734B3"/>
    <w:rsid w:val="00073555"/>
    <w:rsid w:val="0007480C"/>
    <w:rsid w:val="00074897"/>
    <w:rsid w:val="0007548F"/>
    <w:rsid w:val="00075D2C"/>
    <w:rsid w:val="00077B5C"/>
    <w:rsid w:val="00080B64"/>
    <w:rsid w:val="00080D4E"/>
    <w:rsid w:val="000812C2"/>
    <w:rsid w:val="00081506"/>
    <w:rsid w:val="00081C8A"/>
    <w:rsid w:val="00082968"/>
    <w:rsid w:val="00082F64"/>
    <w:rsid w:val="000841D9"/>
    <w:rsid w:val="00084EAF"/>
    <w:rsid w:val="0008527D"/>
    <w:rsid w:val="00085433"/>
    <w:rsid w:val="0008568B"/>
    <w:rsid w:val="000858CA"/>
    <w:rsid w:val="000859D2"/>
    <w:rsid w:val="00085DC7"/>
    <w:rsid w:val="000862EC"/>
    <w:rsid w:val="00086610"/>
    <w:rsid w:val="00086639"/>
    <w:rsid w:val="0008797F"/>
    <w:rsid w:val="00087E37"/>
    <w:rsid w:val="00090419"/>
    <w:rsid w:val="00090807"/>
    <w:rsid w:val="000909DE"/>
    <w:rsid w:val="00092084"/>
    <w:rsid w:val="000923E1"/>
    <w:rsid w:val="00092536"/>
    <w:rsid w:val="00093248"/>
    <w:rsid w:val="000933A4"/>
    <w:rsid w:val="000936B2"/>
    <w:rsid w:val="00093D12"/>
    <w:rsid w:val="000940A5"/>
    <w:rsid w:val="000949A7"/>
    <w:rsid w:val="00095E44"/>
    <w:rsid w:val="00095F7C"/>
    <w:rsid w:val="0009691E"/>
    <w:rsid w:val="00096B54"/>
    <w:rsid w:val="000974CD"/>
    <w:rsid w:val="00097937"/>
    <w:rsid w:val="00097DEB"/>
    <w:rsid w:val="000A0423"/>
    <w:rsid w:val="000A082C"/>
    <w:rsid w:val="000A1272"/>
    <w:rsid w:val="000A19C5"/>
    <w:rsid w:val="000A1C6F"/>
    <w:rsid w:val="000A2912"/>
    <w:rsid w:val="000A29D4"/>
    <w:rsid w:val="000A2FA7"/>
    <w:rsid w:val="000A31A5"/>
    <w:rsid w:val="000A3362"/>
    <w:rsid w:val="000A338E"/>
    <w:rsid w:val="000A37ED"/>
    <w:rsid w:val="000A3845"/>
    <w:rsid w:val="000A3AB9"/>
    <w:rsid w:val="000A41DF"/>
    <w:rsid w:val="000A525D"/>
    <w:rsid w:val="000A5F12"/>
    <w:rsid w:val="000A67B2"/>
    <w:rsid w:val="000A6B82"/>
    <w:rsid w:val="000A7186"/>
    <w:rsid w:val="000A7462"/>
    <w:rsid w:val="000A75A9"/>
    <w:rsid w:val="000A78D2"/>
    <w:rsid w:val="000A7CFC"/>
    <w:rsid w:val="000B003C"/>
    <w:rsid w:val="000B0358"/>
    <w:rsid w:val="000B0A59"/>
    <w:rsid w:val="000B0C09"/>
    <w:rsid w:val="000B11C6"/>
    <w:rsid w:val="000B129D"/>
    <w:rsid w:val="000B1796"/>
    <w:rsid w:val="000B1B16"/>
    <w:rsid w:val="000B2236"/>
    <w:rsid w:val="000B272D"/>
    <w:rsid w:val="000B2A67"/>
    <w:rsid w:val="000B2E60"/>
    <w:rsid w:val="000B37D2"/>
    <w:rsid w:val="000B3C62"/>
    <w:rsid w:val="000B42D2"/>
    <w:rsid w:val="000B4489"/>
    <w:rsid w:val="000B4636"/>
    <w:rsid w:val="000B4FE5"/>
    <w:rsid w:val="000B5813"/>
    <w:rsid w:val="000B6EB8"/>
    <w:rsid w:val="000C0CA4"/>
    <w:rsid w:val="000C145B"/>
    <w:rsid w:val="000C1AD1"/>
    <w:rsid w:val="000C1F51"/>
    <w:rsid w:val="000C1F8B"/>
    <w:rsid w:val="000C3213"/>
    <w:rsid w:val="000C3951"/>
    <w:rsid w:val="000C3AAE"/>
    <w:rsid w:val="000C3D65"/>
    <w:rsid w:val="000C4FED"/>
    <w:rsid w:val="000C522D"/>
    <w:rsid w:val="000C5305"/>
    <w:rsid w:val="000C5D0D"/>
    <w:rsid w:val="000C6034"/>
    <w:rsid w:val="000C6CF7"/>
    <w:rsid w:val="000C71EB"/>
    <w:rsid w:val="000C7917"/>
    <w:rsid w:val="000C792F"/>
    <w:rsid w:val="000C7CB3"/>
    <w:rsid w:val="000D0D90"/>
    <w:rsid w:val="000D1CFF"/>
    <w:rsid w:val="000D1D5C"/>
    <w:rsid w:val="000D2A93"/>
    <w:rsid w:val="000D2AB5"/>
    <w:rsid w:val="000D3F0E"/>
    <w:rsid w:val="000D41FD"/>
    <w:rsid w:val="000D506C"/>
    <w:rsid w:val="000D56AC"/>
    <w:rsid w:val="000D5C0E"/>
    <w:rsid w:val="000D71CA"/>
    <w:rsid w:val="000D72B4"/>
    <w:rsid w:val="000D745E"/>
    <w:rsid w:val="000D7554"/>
    <w:rsid w:val="000D76D5"/>
    <w:rsid w:val="000D790D"/>
    <w:rsid w:val="000D7D09"/>
    <w:rsid w:val="000E0AFD"/>
    <w:rsid w:val="000E0C93"/>
    <w:rsid w:val="000E0CA4"/>
    <w:rsid w:val="000E0F07"/>
    <w:rsid w:val="000E1265"/>
    <w:rsid w:val="000E18D9"/>
    <w:rsid w:val="000E1EB3"/>
    <w:rsid w:val="000E23D6"/>
    <w:rsid w:val="000E2A65"/>
    <w:rsid w:val="000E3840"/>
    <w:rsid w:val="000E3B18"/>
    <w:rsid w:val="000E3E4F"/>
    <w:rsid w:val="000E4B81"/>
    <w:rsid w:val="000E4B95"/>
    <w:rsid w:val="000E53B1"/>
    <w:rsid w:val="000E560E"/>
    <w:rsid w:val="000E60EC"/>
    <w:rsid w:val="000E62D6"/>
    <w:rsid w:val="000E6CCA"/>
    <w:rsid w:val="000E6E62"/>
    <w:rsid w:val="000E7071"/>
    <w:rsid w:val="000E72FC"/>
    <w:rsid w:val="000E7A6A"/>
    <w:rsid w:val="000F0795"/>
    <w:rsid w:val="000F07CD"/>
    <w:rsid w:val="000F277C"/>
    <w:rsid w:val="000F3302"/>
    <w:rsid w:val="000F4C88"/>
    <w:rsid w:val="000F4D88"/>
    <w:rsid w:val="000F52DF"/>
    <w:rsid w:val="000F5EBA"/>
    <w:rsid w:val="000F6377"/>
    <w:rsid w:val="000F6BEF"/>
    <w:rsid w:val="000F78AB"/>
    <w:rsid w:val="00100E68"/>
    <w:rsid w:val="001015F3"/>
    <w:rsid w:val="001016C1"/>
    <w:rsid w:val="00101E26"/>
    <w:rsid w:val="001020BD"/>
    <w:rsid w:val="00102BB3"/>
    <w:rsid w:val="00102F40"/>
    <w:rsid w:val="00103681"/>
    <w:rsid w:val="00103EBC"/>
    <w:rsid w:val="0010574C"/>
    <w:rsid w:val="001057C0"/>
    <w:rsid w:val="0010625E"/>
    <w:rsid w:val="00106973"/>
    <w:rsid w:val="001071E2"/>
    <w:rsid w:val="00107D48"/>
    <w:rsid w:val="00110486"/>
    <w:rsid w:val="00110670"/>
    <w:rsid w:val="001106BA"/>
    <w:rsid w:val="00111782"/>
    <w:rsid w:val="0011312F"/>
    <w:rsid w:val="00113A1F"/>
    <w:rsid w:val="001140BB"/>
    <w:rsid w:val="00114911"/>
    <w:rsid w:val="001157EF"/>
    <w:rsid w:val="00115A16"/>
    <w:rsid w:val="00116762"/>
    <w:rsid w:val="00117D33"/>
    <w:rsid w:val="00120703"/>
    <w:rsid w:val="0012087E"/>
    <w:rsid w:val="00120D77"/>
    <w:rsid w:val="00121CEA"/>
    <w:rsid w:val="00122058"/>
    <w:rsid w:val="0012250B"/>
    <w:rsid w:val="00122D92"/>
    <w:rsid w:val="00123531"/>
    <w:rsid w:val="00123561"/>
    <w:rsid w:val="001245F1"/>
    <w:rsid w:val="001259C2"/>
    <w:rsid w:val="001261E8"/>
    <w:rsid w:val="001270FC"/>
    <w:rsid w:val="00127A49"/>
    <w:rsid w:val="00127B56"/>
    <w:rsid w:val="00127BDB"/>
    <w:rsid w:val="00130265"/>
    <w:rsid w:val="00130857"/>
    <w:rsid w:val="0013139E"/>
    <w:rsid w:val="001316A6"/>
    <w:rsid w:val="00131B58"/>
    <w:rsid w:val="001324D7"/>
    <w:rsid w:val="00133665"/>
    <w:rsid w:val="001337A7"/>
    <w:rsid w:val="001337F7"/>
    <w:rsid w:val="00133CB4"/>
    <w:rsid w:val="00133D3B"/>
    <w:rsid w:val="0013439D"/>
    <w:rsid w:val="001347A4"/>
    <w:rsid w:val="00135546"/>
    <w:rsid w:val="00135C48"/>
    <w:rsid w:val="00135F49"/>
    <w:rsid w:val="00136ADF"/>
    <w:rsid w:val="00136C01"/>
    <w:rsid w:val="0013730E"/>
    <w:rsid w:val="00137848"/>
    <w:rsid w:val="0014032E"/>
    <w:rsid w:val="001403BA"/>
    <w:rsid w:val="00140AAC"/>
    <w:rsid w:val="00141ACA"/>
    <w:rsid w:val="00141C64"/>
    <w:rsid w:val="00141EF1"/>
    <w:rsid w:val="00142C7D"/>
    <w:rsid w:val="00142DBD"/>
    <w:rsid w:val="00143F89"/>
    <w:rsid w:val="0014492E"/>
    <w:rsid w:val="00144FC0"/>
    <w:rsid w:val="001469CA"/>
    <w:rsid w:val="00146C4C"/>
    <w:rsid w:val="0014713B"/>
    <w:rsid w:val="001503E6"/>
    <w:rsid w:val="00150962"/>
    <w:rsid w:val="00151BB2"/>
    <w:rsid w:val="001522C7"/>
    <w:rsid w:val="0015271C"/>
    <w:rsid w:val="00152E69"/>
    <w:rsid w:val="001543A0"/>
    <w:rsid w:val="00154B83"/>
    <w:rsid w:val="00154E7F"/>
    <w:rsid w:val="001556C3"/>
    <w:rsid w:val="0015668A"/>
    <w:rsid w:val="0016164B"/>
    <w:rsid w:val="00162577"/>
    <w:rsid w:val="0016271B"/>
    <w:rsid w:val="001641AF"/>
    <w:rsid w:val="001647A1"/>
    <w:rsid w:val="00165874"/>
    <w:rsid w:val="00166142"/>
    <w:rsid w:val="001663D2"/>
    <w:rsid w:val="00167460"/>
    <w:rsid w:val="00167CE3"/>
    <w:rsid w:val="001705E8"/>
    <w:rsid w:val="0017112C"/>
    <w:rsid w:val="001726E3"/>
    <w:rsid w:val="00172FAB"/>
    <w:rsid w:val="00174243"/>
    <w:rsid w:val="00174C4B"/>
    <w:rsid w:val="00177B87"/>
    <w:rsid w:val="00177FBA"/>
    <w:rsid w:val="00177FBC"/>
    <w:rsid w:val="001808C3"/>
    <w:rsid w:val="00180DF7"/>
    <w:rsid w:val="0018136D"/>
    <w:rsid w:val="00181A71"/>
    <w:rsid w:val="00182178"/>
    <w:rsid w:val="00182B5D"/>
    <w:rsid w:val="001834C1"/>
    <w:rsid w:val="00183F3E"/>
    <w:rsid w:val="001842EF"/>
    <w:rsid w:val="00184428"/>
    <w:rsid w:val="00184CE5"/>
    <w:rsid w:val="00184D59"/>
    <w:rsid w:val="001863C9"/>
    <w:rsid w:val="00186F13"/>
    <w:rsid w:val="00187485"/>
    <w:rsid w:val="001900C0"/>
    <w:rsid w:val="00190151"/>
    <w:rsid w:val="00190616"/>
    <w:rsid w:val="00190EB9"/>
    <w:rsid w:val="00191114"/>
    <w:rsid w:val="0019142A"/>
    <w:rsid w:val="00191B0E"/>
    <w:rsid w:val="00191B72"/>
    <w:rsid w:val="00191D39"/>
    <w:rsid w:val="001924DB"/>
    <w:rsid w:val="001934D3"/>
    <w:rsid w:val="00193E25"/>
    <w:rsid w:val="0019500E"/>
    <w:rsid w:val="0019653F"/>
    <w:rsid w:val="0019671E"/>
    <w:rsid w:val="00197ABF"/>
    <w:rsid w:val="001A01BC"/>
    <w:rsid w:val="001A035D"/>
    <w:rsid w:val="001A0719"/>
    <w:rsid w:val="001A0A0B"/>
    <w:rsid w:val="001A0BB1"/>
    <w:rsid w:val="001A0D87"/>
    <w:rsid w:val="001A12BF"/>
    <w:rsid w:val="001A232A"/>
    <w:rsid w:val="001A2D09"/>
    <w:rsid w:val="001A2E25"/>
    <w:rsid w:val="001A41FF"/>
    <w:rsid w:val="001A5994"/>
    <w:rsid w:val="001A5FB5"/>
    <w:rsid w:val="001A6396"/>
    <w:rsid w:val="001A66D3"/>
    <w:rsid w:val="001A6DE4"/>
    <w:rsid w:val="001A711E"/>
    <w:rsid w:val="001A74C3"/>
    <w:rsid w:val="001B130D"/>
    <w:rsid w:val="001B14A9"/>
    <w:rsid w:val="001B1913"/>
    <w:rsid w:val="001B1EA3"/>
    <w:rsid w:val="001B215C"/>
    <w:rsid w:val="001B2725"/>
    <w:rsid w:val="001B29E8"/>
    <w:rsid w:val="001B2E6E"/>
    <w:rsid w:val="001B32C5"/>
    <w:rsid w:val="001B33F9"/>
    <w:rsid w:val="001B3769"/>
    <w:rsid w:val="001B4DD1"/>
    <w:rsid w:val="001B5B08"/>
    <w:rsid w:val="001B5D9F"/>
    <w:rsid w:val="001B6306"/>
    <w:rsid w:val="001C0019"/>
    <w:rsid w:val="001C0223"/>
    <w:rsid w:val="001C03EC"/>
    <w:rsid w:val="001C089D"/>
    <w:rsid w:val="001C13FE"/>
    <w:rsid w:val="001C1BB8"/>
    <w:rsid w:val="001C1EF2"/>
    <w:rsid w:val="001C2B8E"/>
    <w:rsid w:val="001C3977"/>
    <w:rsid w:val="001C4132"/>
    <w:rsid w:val="001C50AB"/>
    <w:rsid w:val="001C5628"/>
    <w:rsid w:val="001C69E6"/>
    <w:rsid w:val="001C6A31"/>
    <w:rsid w:val="001C7108"/>
    <w:rsid w:val="001C7813"/>
    <w:rsid w:val="001D006D"/>
    <w:rsid w:val="001D049C"/>
    <w:rsid w:val="001D0D4F"/>
    <w:rsid w:val="001D10E5"/>
    <w:rsid w:val="001D1499"/>
    <w:rsid w:val="001D1BEB"/>
    <w:rsid w:val="001D1EF4"/>
    <w:rsid w:val="001D1F3A"/>
    <w:rsid w:val="001D2496"/>
    <w:rsid w:val="001D2C37"/>
    <w:rsid w:val="001D3513"/>
    <w:rsid w:val="001D4F84"/>
    <w:rsid w:val="001D54E7"/>
    <w:rsid w:val="001D63D4"/>
    <w:rsid w:val="001D64BB"/>
    <w:rsid w:val="001E11DF"/>
    <w:rsid w:val="001E12CC"/>
    <w:rsid w:val="001E29D6"/>
    <w:rsid w:val="001E468D"/>
    <w:rsid w:val="001E478A"/>
    <w:rsid w:val="001E5B54"/>
    <w:rsid w:val="001E65B9"/>
    <w:rsid w:val="001E680B"/>
    <w:rsid w:val="001E72C6"/>
    <w:rsid w:val="001E7DAE"/>
    <w:rsid w:val="001E7E05"/>
    <w:rsid w:val="001E7F82"/>
    <w:rsid w:val="001F0018"/>
    <w:rsid w:val="001F0725"/>
    <w:rsid w:val="001F1268"/>
    <w:rsid w:val="001F1726"/>
    <w:rsid w:val="001F2990"/>
    <w:rsid w:val="001F2E14"/>
    <w:rsid w:val="001F2EEC"/>
    <w:rsid w:val="001F3139"/>
    <w:rsid w:val="001F32BE"/>
    <w:rsid w:val="001F3D7C"/>
    <w:rsid w:val="001F3F48"/>
    <w:rsid w:val="001F44B6"/>
    <w:rsid w:val="001F4552"/>
    <w:rsid w:val="001F4696"/>
    <w:rsid w:val="001F6977"/>
    <w:rsid w:val="001F7563"/>
    <w:rsid w:val="00200121"/>
    <w:rsid w:val="00200A0C"/>
    <w:rsid w:val="00200BCE"/>
    <w:rsid w:val="00200D86"/>
    <w:rsid w:val="00200F4B"/>
    <w:rsid w:val="00202135"/>
    <w:rsid w:val="00202C10"/>
    <w:rsid w:val="00202FEE"/>
    <w:rsid w:val="002036A4"/>
    <w:rsid w:val="00203885"/>
    <w:rsid w:val="00203A83"/>
    <w:rsid w:val="00203C60"/>
    <w:rsid w:val="00204CF6"/>
    <w:rsid w:val="002066C9"/>
    <w:rsid w:val="00206B18"/>
    <w:rsid w:val="00207680"/>
    <w:rsid w:val="002077BE"/>
    <w:rsid w:val="00210372"/>
    <w:rsid w:val="00210A21"/>
    <w:rsid w:val="00213540"/>
    <w:rsid w:val="0021378F"/>
    <w:rsid w:val="002140D7"/>
    <w:rsid w:val="00214104"/>
    <w:rsid w:val="002142B6"/>
    <w:rsid w:val="00214485"/>
    <w:rsid w:val="00215EA3"/>
    <w:rsid w:val="0021617A"/>
    <w:rsid w:val="00216E18"/>
    <w:rsid w:val="00220AF5"/>
    <w:rsid w:val="0022149D"/>
    <w:rsid w:val="002231BF"/>
    <w:rsid w:val="00223878"/>
    <w:rsid w:val="00224E90"/>
    <w:rsid w:val="0022607D"/>
    <w:rsid w:val="0022671E"/>
    <w:rsid w:val="0022678F"/>
    <w:rsid w:val="00226A22"/>
    <w:rsid w:val="00226ACC"/>
    <w:rsid w:val="0022789D"/>
    <w:rsid w:val="00230D78"/>
    <w:rsid w:val="002313FD"/>
    <w:rsid w:val="002318F5"/>
    <w:rsid w:val="00232765"/>
    <w:rsid w:val="00232890"/>
    <w:rsid w:val="002334A9"/>
    <w:rsid w:val="002334CA"/>
    <w:rsid w:val="00233D6E"/>
    <w:rsid w:val="002355CE"/>
    <w:rsid w:val="00235667"/>
    <w:rsid w:val="00236025"/>
    <w:rsid w:val="002363A5"/>
    <w:rsid w:val="00236846"/>
    <w:rsid w:val="00237558"/>
    <w:rsid w:val="0023787C"/>
    <w:rsid w:val="00240728"/>
    <w:rsid w:val="00240F07"/>
    <w:rsid w:val="00240F13"/>
    <w:rsid w:val="002412DB"/>
    <w:rsid w:val="00241C52"/>
    <w:rsid w:val="00242D24"/>
    <w:rsid w:val="00243971"/>
    <w:rsid w:val="00244BE9"/>
    <w:rsid w:val="002460CE"/>
    <w:rsid w:val="002462CD"/>
    <w:rsid w:val="002469E5"/>
    <w:rsid w:val="00246FFA"/>
    <w:rsid w:val="002473F0"/>
    <w:rsid w:val="002475F7"/>
    <w:rsid w:val="00247CF8"/>
    <w:rsid w:val="00250014"/>
    <w:rsid w:val="002501D7"/>
    <w:rsid w:val="00251243"/>
    <w:rsid w:val="002526FC"/>
    <w:rsid w:val="00253404"/>
    <w:rsid w:val="00253731"/>
    <w:rsid w:val="0025385D"/>
    <w:rsid w:val="00253FC1"/>
    <w:rsid w:val="002542AE"/>
    <w:rsid w:val="0025479D"/>
    <w:rsid w:val="00254899"/>
    <w:rsid w:val="00254C6D"/>
    <w:rsid w:val="0025509F"/>
    <w:rsid w:val="002550A1"/>
    <w:rsid w:val="00256178"/>
    <w:rsid w:val="00256333"/>
    <w:rsid w:val="00256C58"/>
    <w:rsid w:val="002579D1"/>
    <w:rsid w:val="002600B3"/>
    <w:rsid w:val="002600F5"/>
    <w:rsid w:val="00260801"/>
    <w:rsid w:val="002609A1"/>
    <w:rsid w:val="00261409"/>
    <w:rsid w:val="002616AA"/>
    <w:rsid w:val="002639A7"/>
    <w:rsid w:val="00264CFB"/>
    <w:rsid w:val="00265612"/>
    <w:rsid w:val="0026565F"/>
    <w:rsid w:val="0026568B"/>
    <w:rsid w:val="002656B8"/>
    <w:rsid w:val="00265903"/>
    <w:rsid w:val="00265E5C"/>
    <w:rsid w:val="00265F23"/>
    <w:rsid w:val="00266249"/>
    <w:rsid w:val="00266825"/>
    <w:rsid w:val="00266A53"/>
    <w:rsid w:val="002671DD"/>
    <w:rsid w:val="00267354"/>
    <w:rsid w:val="00267C4A"/>
    <w:rsid w:val="00270B65"/>
    <w:rsid w:val="00270C63"/>
    <w:rsid w:val="00271D48"/>
    <w:rsid w:val="00272405"/>
    <w:rsid w:val="00274E81"/>
    <w:rsid w:val="00274F9F"/>
    <w:rsid w:val="002751A7"/>
    <w:rsid w:val="0027529C"/>
    <w:rsid w:val="002754F5"/>
    <w:rsid w:val="00276491"/>
    <w:rsid w:val="00277163"/>
    <w:rsid w:val="00277258"/>
    <w:rsid w:val="00280A7D"/>
    <w:rsid w:val="00280F0C"/>
    <w:rsid w:val="00281366"/>
    <w:rsid w:val="00281367"/>
    <w:rsid w:val="00281B0D"/>
    <w:rsid w:val="0028242C"/>
    <w:rsid w:val="00283C36"/>
    <w:rsid w:val="00283D02"/>
    <w:rsid w:val="00284956"/>
    <w:rsid w:val="00284B1B"/>
    <w:rsid w:val="00284E20"/>
    <w:rsid w:val="002852AC"/>
    <w:rsid w:val="00285F28"/>
    <w:rsid w:val="00286C5D"/>
    <w:rsid w:val="00286EE1"/>
    <w:rsid w:val="002905B9"/>
    <w:rsid w:val="00290AA7"/>
    <w:rsid w:val="00291F54"/>
    <w:rsid w:val="002924F5"/>
    <w:rsid w:val="0029289F"/>
    <w:rsid w:val="002934D0"/>
    <w:rsid w:val="002935CD"/>
    <w:rsid w:val="002948BC"/>
    <w:rsid w:val="00295392"/>
    <w:rsid w:val="0029560D"/>
    <w:rsid w:val="00295AFC"/>
    <w:rsid w:val="00295E7C"/>
    <w:rsid w:val="00297479"/>
    <w:rsid w:val="00297CCD"/>
    <w:rsid w:val="00297EA0"/>
    <w:rsid w:val="002A025A"/>
    <w:rsid w:val="002A0B7D"/>
    <w:rsid w:val="002A0C81"/>
    <w:rsid w:val="002A2127"/>
    <w:rsid w:val="002A39E0"/>
    <w:rsid w:val="002A4378"/>
    <w:rsid w:val="002A476D"/>
    <w:rsid w:val="002A4EC8"/>
    <w:rsid w:val="002A5084"/>
    <w:rsid w:val="002A525A"/>
    <w:rsid w:val="002A5698"/>
    <w:rsid w:val="002A5F55"/>
    <w:rsid w:val="002A7184"/>
    <w:rsid w:val="002A7DF1"/>
    <w:rsid w:val="002B04ED"/>
    <w:rsid w:val="002B06A0"/>
    <w:rsid w:val="002B0778"/>
    <w:rsid w:val="002B0ACE"/>
    <w:rsid w:val="002B0B70"/>
    <w:rsid w:val="002B29A3"/>
    <w:rsid w:val="002B3660"/>
    <w:rsid w:val="002B567D"/>
    <w:rsid w:val="002B5A55"/>
    <w:rsid w:val="002B5CC7"/>
    <w:rsid w:val="002B5FD3"/>
    <w:rsid w:val="002B6175"/>
    <w:rsid w:val="002B6416"/>
    <w:rsid w:val="002B67BA"/>
    <w:rsid w:val="002B6908"/>
    <w:rsid w:val="002B699D"/>
    <w:rsid w:val="002B7A0B"/>
    <w:rsid w:val="002C035B"/>
    <w:rsid w:val="002C1317"/>
    <w:rsid w:val="002C205F"/>
    <w:rsid w:val="002C20EB"/>
    <w:rsid w:val="002C22B0"/>
    <w:rsid w:val="002C2C68"/>
    <w:rsid w:val="002C3AD4"/>
    <w:rsid w:val="002C3FA5"/>
    <w:rsid w:val="002C417A"/>
    <w:rsid w:val="002C536F"/>
    <w:rsid w:val="002C5A8D"/>
    <w:rsid w:val="002C630F"/>
    <w:rsid w:val="002C6490"/>
    <w:rsid w:val="002D1E9B"/>
    <w:rsid w:val="002D37B1"/>
    <w:rsid w:val="002D4C46"/>
    <w:rsid w:val="002D5048"/>
    <w:rsid w:val="002D545C"/>
    <w:rsid w:val="002D6EA6"/>
    <w:rsid w:val="002D7416"/>
    <w:rsid w:val="002D754D"/>
    <w:rsid w:val="002D789B"/>
    <w:rsid w:val="002D7A88"/>
    <w:rsid w:val="002D7E91"/>
    <w:rsid w:val="002E0B43"/>
    <w:rsid w:val="002E0D03"/>
    <w:rsid w:val="002E0D5D"/>
    <w:rsid w:val="002E11A6"/>
    <w:rsid w:val="002E1834"/>
    <w:rsid w:val="002E1A5F"/>
    <w:rsid w:val="002E1C3E"/>
    <w:rsid w:val="002E1CB9"/>
    <w:rsid w:val="002E28CF"/>
    <w:rsid w:val="002E29B4"/>
    <w:rsid w:val="002E3C2D"/>
    <w:rsid w:val="002E3C4A"/>
    <w:rsid w:val="002E3DFA"/>
    <w:rsid w:val="002E7647"/>
    <w:rsid w:val="002F017C"/>
    <w:rsid w:val="002F094C"/>
    <w:rsid w:val="002F0C4E"/>
    <w:rsid w:val="002F1777"/>
    <w:rsid w:val="002F19E0"/>
    <w:rsid w:val="002F1CEE"/>
    <w:rsid w:val="002F1FE2"/>
    <w:rsid w:val="002F1FF0"/>
    <w:rsid w:val="002F21EF"/>
    <w:rsid w:val="002F2FB6"/>
    <w:rsid w:val="002F3597"/>
    <w:rsid w:val="002F4A79"/>
    <w:rsid w:val="002F4D49"/>
    <w:rsid w:val="002F4E2F"/>
    <w:rsid w:val="002F4EB8"/>
    <w:rsid w:val="002F50EF"/>
    <w:rsid w:val="002F79DC"/>
    <w:rsid w:val="002F7CDF"/>
    <w:rsid w:val="00300273"/>
    <w:rsid w:val="003003A3"/>
    <w:rsid w:val="0030070F"/>
    <w:rsid w:val="00300D86"/>
    <w:rsid w:val="003015D2"/>
    <w:rsid w:val="00301991"/>
    <w:rsid w:val="00301A4B"/>
    <w:rsid w:val="00301B79"/>
    <w:rsid w:val="00301DF4"/>
    <w:rsid w:val="00301E0B"/>
    <w:rsid w:val="003023ED"/>
    <w:rsid w:val="0030282C"/>
    <w:rsid w:val="00302E39"/>
    <w:rsid w:val="00304923"/>
    <w:rsid w:val="00304ED5"/>
    <w:rsid w:val="00305E9C"/>
    <w:rsid w:val="00306603"/>
    <w:rsid w:val="00306FDB"/>
    <w:rsid w:val="003076B7"/>
    <w:rsid w:val="00307BBE"/>
    <w:rsid w:val="00307E19"/>
    <w:rsid w:val="0031064D"/>
    <w:rsid w:val="003128C2"/>
    <w:rsid w:val="003129C9"/>
    <w:rsid w:val="00312C6F"/>
    <w:rsid w:val="0031300A"/>
    <w:rsid w:val="0031388E"/>
    <w:rsid w:val="00314808"/>
    <w:rsid w:val="00314AF5"/>
    <w:rsid w:val="00315846"/>
    <w:rsid w:val="00315CA2"/>
    <w:rsid w:val="00315E17"/>
    <w:rsid w:val="00316172"/>
    <w:rsid w:val="003164D4"/>
    <w:rsid w:val="003166E7"/>
    <w:rsid w:val="00316F86"/>
    <w:rsid w:val="00316F9F"/>
    <w:rsid w:val="003176A3"/>
    <w:rsid w:val="00317832"/>
    <w:rsid w:val="00317839"/>
    <w:rsid w:val="00317A2B"/>
    <w:rsid w:val="00320078"/>
    <w:rsid w:val="003202B1"/>
    <w:rsid w:val="003204C0"/>
    <w:rsid w:val="00320A40"/>
    <w:rsid w:val="00320B5A"/>
    <w:rsid w:val="00321936"/>
    <w:rsid w:val="00321A57"/>
    <w:rsid w:val="00322665"/>
    <w:rsid w:val="00322D2E"/>
    <w:rsid w:val="00323167"/>
    <w:rsid w:val="00323954"/>
    <w:rsid w:val="00323C4E"/>
    <w:rsid w:val="003253C4"/>
    <w:rsid w:val="003253DD"/>
    <w:rsid w:val="00325950"/>
    <w:rsid w:val="0032716A"/>
    <w:rsid w:val="0032731A"/>
    <w:rsid w:val="003312D0"/>
    <w:rsid w:val="00331BC3"/>
    <w:rsid w:val="0033249D"/>
    <w:rsid w:val="00332A6D"/>
    <w:rsid w:val="00332BC7"/>
    <w:rsid w:val="00332C4A"/>
    <w:rsid w:val="003333C4"/>
    <w:rsid w:val="00333D32"/>
    <w:rsid w:val="00333E34"/>
    <w:rsid w:val="00333E58"/>
    <w:rsid w:val="003340F6"/>
    <w:rsid w:val="0033478D"/>
    <w:rsid w:val="00335615"/>
    <w:rsid w:val="00335D5E"/>
    <w:rsid w:val="003364A3"/>
    <w:rsid w:val="00341B4D"/>
    <w:rsid w:val="0034230C"/>
    <w:rsid w:val="00342FF6"/>
    <w:rsid w:val="00343B2B"/>
    <w:rsid w:val="00343D24"/>
    <w:rsid w:val="00343D7F"/>
    <w:rsid w:val="00343EAA"/>
    <w:rsid w:val="00343ED4"/>
    <w:rsid w:val="0034452B"/>
    <w:rsid w:val="00344AFE"/>
    <w:rsid w:val="0034591C"/>
    <w:rsid w:val="00345958"/>
    <w:rsid w:val="0034615C"/>
    <w:rsid w:val="00346B2B"/>
    <w:rsid w:val="00347389"/>
    <w:rsid w:val="00347A6A"/>
    <w:rsid w:val="00347F9E"/>
    <w:rsid w:val="00351926"/>
    <w:rsid w:val="00351947"/>
    <w:rsid w:val="00352433"/>
    <w:rsid w:val="00352716"/>
    <w:rsid w:val="00353DF0"/>
    <w:rsid w:val="0035499A"/>
    <w:rsid w:val="00354B62"/>
    <w:rsid w:val="0035504C"/>
    <w:rsid w:val="003559ED"/>
    <w:rsid w:val="00355ACE"/>
    <w:rsid w:val="003573B6"/>
    <w:rsid w:val="00357568"/>
    <w:rsid w:val="0035757F"/>
    <w:rsid w:val="00357623"/>
    <w:rsid w:val="0035774A"/>
    <w:rsid w:val="00360632"/>
    <w:rsid w:val="00360896"/>
    <w:rsid w:val="0036131C"/>
    <w:rsid w:val="003622EA"/>
    <w:rsid w:val="0036238C"/>
    <w:rsid w:val="003628E1"/>
    <w:rsid w:val="0036334C"/>
    <w:rsid w:val="0036380B"/>
    <w:rsid w:val="00363B01"/>
    <w:rsid w:val="00365867"/>
    <w:rsid w:val="00365BAB"/>
    <w:rsid w:val="00365F73"/>
    <w:rsid w:val="0036632D"/>
    <w:rsid w:val="003666C5"/>
    <w:rsid w:val="00367B2A"/>
    <w:rsid w:val="003704C2"/>
    <w:rsid w:val="00370675"/>
    <w:rsid w:val="00370840"/>
    <w:rsid w:val="00370D53"/>
    <w:rsid w:val="003712ED"/>
    <w:rsid w:val="00371547"/>
    <w:rsid w:val="00371A8C"/>
    <w:rsid w:val="00371E99"/>
    <w:rsid w:val="00371FD3"/>
    <w:rsid w:val="00372116"/>
    <w:rsid w:val="003722C6"/>
    <w:rsid w:val="0037259D"/>
    <w:rsid w:val="003726E2"/>
    <w:rsid w:val="00372A00"/>
    <w:rsid w:val="00372CE6"/>
    <w:rsid w:val="00372D30"/>
    <w:rsid w:val="00373269"/>
    <w:rsid w:val="00373EB9"/>
    <w:rsid w:val="003745AE"/>
    <w:rsid w:val="00374B84"/>
    <w:rsid w:val="0037550F"/>
    <w:rsid w:val="00375C18"/>
    <w:rsid w:val="0037630F"/>
    <w:rsid w:val="0037667B"/>
    <w:rsid w:val="00376EB0"/>
    <w:rsid w:val="00377068"/>
    <w:rsid w:val="0038073D"/>
    <w:rsid w:val="00380A39"/>
    <w:rsid w:val="0038102B"/>
    <w:rsid w:val="00381424"/>
    <w:rsid w:val="00381CE2"/>
    <w:rsid w:val="003826E8"/>
    <w:rsid w:val="00382840"/>
    <w:rsid w:val="00383A02"/>
    <w:rsid w:val="0038492E"/>
    <w:rsid w:val="00385A4F"/>
    <w:rsid w:val="0038662D"/>
    <w:rsid w:val="00386F9A"/>
    <w:rsid w:val="00387401"/>
    <w:rsid w:val="00387493"/>
    <w:rsid w:val="00387BE6"/>
    <w:rsid w:val="003901E1"/>
    <w:rsid w:val="003907AA"/>
    <w:rsid w:val="00390C42"/>
    <w:rsid w:val="003917D2"/>
    <w:rsid w:val="00391F3F"/>
    <w:rsid w:val="003929D3"/>
    <w:rsid w:val="00392CF7"/>
    <w:rsid w:val="00393DA5"/>
    <w:rsid w:val="00396174"/>
    <w:rsid w:val="00397483"/>
    <w:rsid w:val="00397504"/>
    <w:rsid w:val="00397B4D"/>
    <w:rsid w:val="003A0192"/>
    <w:rsid w:val="003A0367"/>
    <w:rsid w:val="003A047E"/>
    <w:rsid w:val="003A0851"/>
    <w:rsid w:val="003A0DE1"/>
    <w:rsid w:val="003A0F23"/>
    <w:rsid w:val="003A1C0C"/>
    <w:rsid w:val="003A30D8"/>
    <w:rsid w:val="003A37F0"/>
    <w:rsid w:val="003A3AB2"/>
    <w:rsid w:val="003A3B41"/>
    <w:rsid w:val="003A42FC"/>
    <w:rsid w:val="003A48CE"/>
    <w:rsid w:val="003A73B4"/>
    <w:rsid w:val="003A7998"/>
    <w:rsid w:val="003B08F6"/>
    <w:rsid w:val="003B0BE2"/>
    <w:rsid w:val="003B0C72"/>
    <w:rsid w:val="003B103F"/>
    <w:rsid w:val="003B16A7"/>
    <w:rsid w:val="003B1D9D"/>
    <w:rsid w:val="003B2BC5"/>
    <w:rsid w:val="003B2BF9"/>
    <w:rsid w:val="003B2CC8"/>
    <w:rsid w:val="003B39FD"/>
    <w:rsid w:val="003B3E24"/>
    <w:rsid w:val="003B4394"/>
    <w:rsid w:val="003B4871"/>
    <w:rsid w:val="003B4900"/>
    <w:rsid w:val="003B52D4"/>
    <w:rsid w:val="003B5AC7"/>
    <w:rsid w:val="003B5AEB"/>
    <w:rsid w:val="003B7074"/>
    <w:rsid w:val="003B7243"/>
    <w:rsid w:val="003B7E2E"/>
    <w:rsid w:val="003B7EDE"/>
    <w:rsid w:val="003C01BE"/>
    <w:rsid w:val="003C02F5"/>
    <w:rsid w:val="003C0CBF"/>
    <w:rsid w:val="003C1D68"/>
    <w:rsid w:val="003C1E96"/>
    <w:rsid w:val="003C293B"/>
    <w:rsid w:val="003C29B3"/>
    <w:rsid w:val="003C2CF0"/>
    <w:rsid w:val="003C3446"/>
    <w:rsid w:val="003C3720"/>
    <w:rsid w:val="003C3828"/>
    <w:rsid w:val="003C5432"/>
    <w:rsid w:val="003C5615"/>
    <w:rsid w:val="003C636D"/>
    <w:rsid w:val="003C6CDA"/>
    <w:rsid w:val="003C729E"/>
    <w:rsid w:val="003C7610"/>
    <w:rsid w:val="003D0B6B"/>
    <w:rsid w:val="003D10F4"/>
    <w:rsid w:val="003D1165"/>
    <w:rsid w:val="003D1EA2"/>
    <w:rsid w:val="003D376D"/>
    <w:rsid w:val="003D400F"/>
    <w:rsid w:val="003D47E2"/>
    <w:rsid w:val="003D4A82"/>
    <w:rsid w:val="003D4B7A"/>
    <w:rsid w:val="003D4E21"/>
    <w:rsid w:val="003D513B"/>
    <w:rsid w:val="003D549E"/>
    <w:rsid w:val="003D571D"/>
    <w:rsid w:val="003D576B"/>
    <w:rsid w:val="003D5972"/>
    <w:rsid w:val="003D5F52"/>
    <w:rsid w:val="003D7E32"/>
    <w:rsid w:val="003E00DC"/>
    <w:rsid w:val="003E0126"/>
    <w:rsid w:val="003E154C"/>
    <w:rsid w:val="003E1FA3"/>
    <w:rsid w:val="003E32EF"/>
    <w:rsid w:val="003E3522"/>
    <w:rsid w:val="003E546D"/>
    <w:rsid w:val="003E574C"/>
    <w:rsid w:val="003E5C22"/>
    <w:rsid w:val="003E649E"/>
    <w:rsid w:val="003E6789"/>
    <w:rsid w:val="003E69E2"/>
    <w:rsid w:val="003E6D27"/>
    <w:rsid w:val="003E74E3"/>
    <w:rsid w:val="003E77C0"/>
    <w:rsid w:val="003F0BF2"/>
    <w:rsid w:val="003F1891"/>
    <w:rsid w:val="003F3144"/>
    <w:rsid w:val="003F3514"/>
    <w:rsid w:val="003F3989"/>
    <w:rsid w:val="003F3BB5"/>
    <w:rsid w:val="003F3EF1"/>
    <w:rsid w:val="003F5174"/>
    <w:rsid w:val="003F528F"/>
    <w:rsid w:val="003F52E7"/>
    <w:rsid w:val="003F575E"/>
    <w:rsid w:val="003F5CF3"/>
    <w:rsid w:val="003F6086"/>
    <w:rsid w:val="003F62B8"/>
    <w:rsid w:val="003F75A4"/>
    <w:rsid w:val="003F768C"/>
    <w:rsid w:val="003F7E4F"/>
    <w:rsid w:val="003F7FBF"/>
    <w:rsid w:val="004002DB"/>
    <w:rsid w:val="004006CA"/>
    <w:rsid w:val="00400B49"/>
    <w:rsid w:val="00400F42"/>
    <w:rsid w:val="0040415C"/>
    <w:rsid w:val="00404926"/>
    <w:rsid w:val="00405101"/>
    <w:rsid w:val="0040541D"/>
    <w:rsid w:val="0040579C"/>
    <w:rsid w:val="00407A4D"/>
    <w:rsid w:val="00407EF4"/>
    <w:rsid w:val="00410C1B"/>
    <w:rsid w:val="00411AC5"/>
    <w:rsid w:val="004125F8"/>
    <w:rsid w:val="00412771"/>
    <w:rsid w:val="00413EA4"/>
    <w:rsid w:val="00414878"/>
    <w:rsid w:val="004149A0"/>
    <w:rsid w:val="00415887"/>
    <w:rsid w:val="004158AA"/>
    <w:rsid w:val="00415A31"/>
    <w:rsid w:val="00415BC9"/>
    <w:rsid w:val="0041673C"/>
    <w:rsid w:val="00416A57"/>
    <w:rsid w:val="0041737A"/>
    <w:rsid w:val="00417589"/>
    <w:rsid w:val="00417D43"/>
    <w:rsid w:val="00417D54"/>
    <w:rsid w:val="004203B0"/>
    <w:rsid w:val="0042057B"/>
    <w:rsid w:val="00420B3E"/>
    <w:rsid w:val="00420F38"/>
    <w:rsid w:val="00421026"/>
    <w:rsid w:val="0042117D"/>
    <w:rsid w:val="00422CC2"/>
    <w:rsid w:val="004230E0"/>
    <w:rsid w:val="00423DF1"/>
    <w:rsid w:val="00423EA4"/>
    <w:rsid w:val="00424984"/>
    <w:rsid w:val="00424A75"/>
    <w:rsid w:val="0042539C"/>
    <w:rsid w:val="004254CC"/>
    <w:rsid w:val="0042552B"/>
    <w:rsid w:val="00425ADC"/>
    <w:rsid w:val="00426286"/>
    <w:rsid w:val="004273D5"/>
    <w:rsid w:val="00430DF1"/>
    <w:rsid w:val="00431460"/>
    <w:rsid w:val="00431A4E"/>
    <w:rsid w:val="00432FC5"/>
    <w:rsid w:val="00434E9D"/>
    <w:rsid w:val="0043515F"/>
    <w:rsid w:val="00435A77"/>
    <w:rsid w:val="00435BC5"/>
    <w:rsid w:val="00435BFD"/>
    <w:rsid w:val="00436490"/>
    <w:rsid w:val="004400C7"/>
    <w:rsid w:val="004416A2"/>
    <w:rsid w:val="00441F48"/>
    <w:rsid w:val="004420B0"/>
    <w:rsid w:val="00444423"/>
    <w:rsid w:val="00444BCE"/>
    <w:rsid w:val="0044511F"/>
    <w:rsid w:val="00445423"/>
    <w:rsid w:val="00445A18"/>
    <w:rsid w:val="00445B2E"/>
    <w:rsid w:val="00446061"/>
    <w:rsid w:val="00446664"/>
    <w:rsid w:val="0044756A"/>
    <w:rsid w:val="00447F3D"/>
    <w:rsid w:val="00450449"/>
    <w:rsid w:val="00450459"/>
    <w:rsid w:val="0045093C"/>
    <w:rsid w:val="00450A47"/>
    <w:rsid w:val="00451E08"/>
    <w:rsid w:val="004526F8"/>
    <w:rsid w:val="00452BD2"/>
    <w:rsid w:val="0045384E"/>
    <w:rsid w:val="00453FAA"/>
    <w:rsid w:val="004568A8"/>
    <w:rsid w:val="00461719"/>
    <w:rsid w:val="004618EA"/>
    <w:rsid w:val="0046190A"/>
    <w:rsid w:val="00461BC3"/>
    <w:rsid w:val="00461D96"/>
    <w:rsid w:val="004625BE"/>
    <w:rsid w:val="00462770"/>
    <w:rsid w:val="0046343E"/>
    <w:rsid w:val="004634CC"/>
    <w:rsid w:val="00463B0C"/>
    <w:rsid w:val="00465689"/>
    <w:rsid w:val="004657B3"/>
    <w:rsid w:val="00465E0C"/>
    <w:rsid w:val="00465E7C"/>
    <w:rsid w:val="00466104"/>
    <w:rsid w:val="0046650D"/>
    <w:rsid w:val="0046667D"/>
    <w:rsid w:val="00466B68"/>
    <w:rsid w:val="00466B8F"/>
    <w:rsid w:val="00466EE2"/>
    <w:rsid w:val="004672B1"/>
    <w:rsid w:val="00467C3D"/>
    <w:rsid w:val="00467F17"/>
    <w:rsid w:val="004701C2"/>
    <w:rsid w:val="004709CC"/>
    <w:rsid w:val="00470CC3"/>
    <w:rsid w:val="00471488"/>
    <w:rsid w:val="00471523"/>
    <w:rsid w:val="00471C3E"/>
    <w:rsid w:val="00471F6C"/>
    <w:rsid w:val="004728C7"/>
    <w:rsid w:val="00472CFD"/>
    <w:rsid w:val="00473348"/>
    <w:rsid w:val="00473716"/>
    <w:rsid w:val="00473BE1"/>
    <w:rsid w:val="00473EFC"/>
    <w:rsid w:val="0047559C"/>
    <w:rsid w:val="00475D34"/>
    <w:rsid w:val="00476F10"/>
    <w:rsid w:val="00477CED"/>
    <w:rsid w:val="00480AF7"/>
    <w:rsid w:val="004817B5"/>
    <w:rsid w:val="00482468"/>
    <w:rsid w:val="004825D7"/>
    <w:rsid w:val="0048321C"/>
    <w:rsid w:val="0048336D"/>
    <w:rsid w:val="00484EDD"/>
    <w:rsid w:val="00485369"/>
    <w:rsid w:val="00485505"/>
    <w:rsid w:val="004858CF"/>
    <w:rsid w:val="00485FA9"/>
    <w:rsid w:val="004861E6"/>
    <w:rsid w:val="0048643B"/>
    <w:rsid w:val="004865A3"/>
    <w:rsid w:val="00486AE6"/>
    <w:rsid w:val="0048775B"/>
    <w:rsid w:val="0049018E"/>
    <w:rsid w:val="004907B8"/>
    <w:rsid w:val="00490AB8"/>
    <w:rsid w:val="00491073"/>
    <w:rsid w:val="00492507"/>
    <w:rsid w:val="00492CDA"/>
    <w:rsid w:val="00492F40"/>
    <w:rsid w:val="00493489"/>
    <w:rsid w:val="00493A69"/>
    <w:rsid w:val="004944D0"/>
    <w:rsid w:val="00494F09"/>
    <w:rsid w:val="004951F1"/>
    <w:rsid w:val="004952CF"/>
    <w:rsid w:val="00495A38"/>
    <w:rsid w:val="00495EA7"/>
    <w:rsid w:val="00496655"/>
    <w:rsid w:val="00496B44"/>
    <w:rsid w:val="00496CD1"/>
    <w:rsid w:val="00496CF5"/>
    <w:rsid w:val="0049787F"/>
    <w:rsid w:val="004979A9"/>
    <w:rsid w:val="004A029B"/>
    <w:rsid w:val="004A0410"/>
    <w:rsid w:val="004A0852"/>
    <w:rsid w:val="004A0A45"/>
    <w:rsid w:val="004A0D51"/>
    <w:rsid w:val="004A12A5"/>
    <w:rsid w:val="004A15E3"/>
    <w:rsid w:val="004A1748"/>
    <w:rsid w:val="004A1D00"/>
    <w:rsid w:val="004A22FD"/>
    <w:rsid w:val="004A3492"/>
    <w:rsid w:val="004A3FC8"/>
    <w:rsid w:val="004A51D5"/>
    <w:rsid w:val="004A53EE"/>
    <w:rsid w:val="004A5CCD"/>
    <w:rsid w:val="004A6B7B"/>
    <w:rsid w:val="004A6E07"/>
    <w:rsid w:val="004A6E67"/>
    <w:rsid w:val="004A6F12"/>
    <w:rsid w:val="004A6F4C"/>
    <w:rsid w:val="004A74E7"/>
    <w:rsid w:val="004B04E2"/>
    <w:rsid w:val="004B0FD5"/>
    <w:rsid w:val="004B170A"/>
    <w:rsid w:val="004B1E2A"/>
    <w:rsid w:val="004B1E53"/>
    <w:rsid w:val="004B271B"/>
    <w:rsid w:val="004B29B6"/>
    <w:rsid w:val="004B3CF0"/>
    <w:rsid w:val="004B5061"/>
    <w:rsid w:val="004B51B7"/>
    <w:rsid w:val="004B5C7F"/>
    <w:rsid w:val="004B66BF"/>
    <w:rsid w:val="004B70C1"/>
    <w:rsid w:val="004C02AD"/>
    <w:rsid w:val="004C1185"/>
    <w:rsid w:val="004C15B2"/>
    <w:rsid w:val="004C1CBF"/>
    <w:rsid w:val="004C432A"/>
    <w:rsid w:val="004C474D"/>
    <w:rsid w:val="004C47E5"/>
    <w:rsid w:val="004C4858"/>
    <w:rsid w:val="004C4C8E"/>
    <w:rsid w:val="004C55D8"/>
    <w:rsid w:val="004C5F86"/>
    <w:rsid w:val="004C69BE"/>
    <w:rsid w:val="004D054D"/>
    <w:rsid w:val="004D08B4"/>
    <w:rsid w:val="004D141D"/>
    <w:rsid w:val="004D1B95"/>
    <w:rsid w:val="004D1C2E"/>
    <w:rsid w:val="004D1F70"/>
    <w:rsid w:val="004D2025"/>
    <w:rsid w:val="004D316C"/>
    <w:rsid w:val="004D317D"/>
    <w:rsid w:val="004D418F"/>
    <w:rsid w:val="004D4353"/>
    <w:rsid w:val="004D48DF"/>
    <w:rsid w:val="004D4FD7"/>
    <w:rsid w:val="004D5FCC"/>
    <w:rsid w:val="004D60E7"/>
    <w:rsid w:val="004D6FFB"/>
    <w:rsid w:val="004E01BA"/>
    <w:rsid w:val="004E038F"/>
    <w:rsid w:val="004E0C4A"/>
    <w:rsid w:val="004E147C"/>
    <w:rsid w:val="004E151E"/>
    <w:rsid w:val="004E15A5"/>
    <w:rsid w:val="004E1716"/>
    <w:rsid w:val="004E1878"/>
    <w:rsid w:val="004E1B34"/>
    <w:rsid w:val="004E2311"/>
    <w:rsid w:val="004E55CB"/>
    <w:rsid w:val="004E5A79"/>
    <w:rsid w:val="004E5B7F"/>
    <w:rsid w:val="004E5F03"/>
    <w:rsid w:val="004E73FC"/>
    <w:rsid w:val="004F03CD"/>
    <w:rsid w:val="004F05FE"/>
    <w:rsid w:val="004F1423"/>
    <w:rsid w:val="004F1F74"/>
    <w:rsid w:val="004F21EE"/>
    <w:rsid w:val="004F2572"/>
    <w:rsid w:val="004F31FE"/>
    <w:rsid w:val="004F326C"/>
    <w:rsid w:val="004F4009"/>
    <w:rsid w:val="004F49EF"/>
    <w:rsid w:val="004F49F3"/>
    <w:rsid w:val="004F513E"/>
    <w:rsid w:val="004F5575"/>
    <w:rsid w:val="004F5CB5"/>
    <w:rsid w:val="004F63B2"/>
    <w:rsid w:val="004F6AB6"/>
    <w:rsid w:val="004F6B63"/>
    <w:rsid w:val="004F72AF"/>
    <w:rsid w:val="004F736D"/>
    <w:rsid w:val="004F76C6"/>
    <w:rsid w:val="004F774A"/>
    <w:rsid w:val="00500959"/>
    <w:rsid w:val="00500C47"/>
    <w:rsid w:val="00501EBF"/>
    <w:rsid w:val="0050243A"/>
    <w:rsid w:val="0050266A"/>
    <w:rsid w:val="00502C11"/>
    <w:rsid w:val="00502C1A"/>
    <w:rsid w:val="00503282"/>
    <w:rsid w:val="00510316"/>
    <w:rsid w:val="00511428"/>
    <w:rsid w:val="00511943"/>
    <w:rsid w:val="0051275F"/>
    <w:rsid w:val="00512EA3"/>
    <w:rsid w:val="00513022"/>
    <w:rsid w:val="00513AF8"/>
    <w:rsid w:val="00513D1F"/>
    <w:rsid w:val="00513D75"/>
    <w:rsid w:val="00513EE7"/>
    <w:rsid w:val="00514479"/>
    <w:rsid w:val="00514502"/>
    <w:rsid w:val="005157BA"/>
    <w:rsid w:val="00515E0B"/>
    <w:rsid w:val="005177AF"/>
    <w:rsid w:val="00520469"/>
    <w:rsid w:val="00520916"/>
    <w:rsid w:val="00520E5E"/>
    <w:rsid w:val="005215B9"/>
    <w:rsid w:val="005223B6"/>
    <w:rsid w:val="0052241C"/>
    <w:rsid w:val="00522F78"/>
    <w:rsid w:val="005236E1"/>
    <w:rsid w:val="00523DF5"/>
    <w:rsid w:val="0052453C"/>
    <w:rsid w:val="0052469A"/>
    <w:rsid w:val="005248AB"/>
    <w:rsid w:val="00525278"/>
    <w:rsid w:val="005259ED"/>
    <w:rsid w:val="00525BE8"/>
    <w:rsid w:val="00525E31"/>
    <w:rsid w:val="00525ED3"/>
    <w:rsid w:val="0052659B"/>
    <w:rsid w:val="00526ED7"/>
    <w:rsid w:val="00527B6B"/>
    <w:rsid w:val="00530E53"/>
    <w:rsid w:val="00532919"/>
    <w:rsid w:val="0053293D"/>
    <w:rsid w:val="00532DAF"/>
    <w:rsid w:val="005337B4"/>
    <w:rsid w:val="005346B9"/>
    <w:rsid w:val="005349E0"/>
    <w:rsid w:val="00535734"/>
    <w:rsid w:val="00535869"/>
    <w:rsid w:val="00535AF7"/>
    <w:rsid w:val="00535E1E"/>
    <w:rsid w:val="00535F8B"/>
    <w:rsid w:val="00536A5A"/>
    <w:rsid w:val="005372E5"/>
    <w:rsid w:val="00541501"/>
    <w:rsid w:val="00541D6A"/>
    <w:rsid w:val="005424C1"/>
    <w:rsid w:val="00543336"/>
    <w:rsid w:val="00543F58"/>
    <w:rsid w:val="0054470D"/>
    <w:rsid w:val="00544715"/>
    <w:rsid w:val="00544C05"/>
    <w:rsid w:val="00545598"/>
    <w:rsid w:val="005455FF"/>
    <w:rsid w:val="005462C1"/>
    <w:rsid w:val="00547399"/>
    <w:rsid w:val="00550179"/>
    <w:rsid w:val="005502CF"/>
    <w:rsid w:val="00550956"/>
    <w:rsid w:val="00550AEB"/>
    <w:rsid w:val="00551C21"/>
    <w:rsid w:val="0055235F"/>
    <w:rsid w:val="00552B9C"/>
    <w:rsid w:val="00552BC2"/>
    <w:rsid w:val="005538B8"/>
    <w:rsid w:val="00553D90"/>
    <w:rsid w:val="005549C3"/>
    <w:rsid w:val="00554FE9"/>
    <w:rsid w:val="00555018"/>
    <w:rsid w:val="00555CA7"/>
    <w:rsid w:val="005563CC"/>
    <w:rsid w:val="00556D52"/>
    <w:rsid w:val="00557048"/>
    <w:rsid w:val="00557464"/>
    <w:rsid w:val="0055793C"/>
    <w:rsid w:val="00557990"/>
    <w:rsid w:val="0056021D"/>
    <w:rsid w:val="005609E9"/>
    <w:rsid w:val="005622C4"/>
    <w:rsid w:val="0056391B"/>
    <w:rsid w:val="00563AD5"/>
    <w:rsid w:val="005644C7"/>
    <w:rsid w:val="0056474A"/>
    <w:rsid w:val="00565A82"/>
    <w:rsid w:val="00565DA3"/>
    <w:rsid w:val="00566C13"/>
    <w:rsid w:val="00566FC8"/>
    <w:rsid w:val="005673A8"/>
    <w:rsid w:val="005675D5"/>
    <w:rsid w:val="005677A1"/>
    <w:rsid w:val="00567BCF"/>
    <w:rsid w:val="0057010D"/>
    <w:rsid w:val="00570804"/>
    <w:rsid w:val="00571089"/>
    <w:rsid w:val="0057221E"/>
    <w:rsid w:val="0057267B"/>
    <w:rsid w:val="005729E4"/>
    <w:rsid w:val="005736B0"/>
    <w:rsid w:val="0057376F"/>
    <w:rsid w:val="0057388B"/>
    <w:rsid w:val="00573F7B"/>
    <w:rsid w:val="005741EC"/>
    <w:rsid w:val="00574277"/>
    <w:rsid w:val="005743FD"/>
    <w:rsid w:val="0057488D"/>
    <w:rsid w:val="00575036"/>
    <w:rsid w:val="00575E24"/>
    <w:rsid w:val="00580366"/>
    <w:rsid w:val="0058141F"/>
    <w:rsid w:val="00581CB7"/>
    <w:rsid w:val="00581F4E"/>
    <w:rsid w:val="00582016"/>
    <w:rsid w:val="005828EC"/>
    <w:rsid w:val="00582A51"/>
    <w:rsid w:val="00582D01"/>
    <w:rsid w:val="0058434D"/>
    <w:rsid w:val="00585153"/>
    <w:rsid w:val="0058522D"/>
    <w:rsid w:val="005854EB"/>
    <w:rsid w:val="005857BC"/>
    <w:rsid w:val="00585A22"/>
    <w:rsid w:val="00585EF9"/>
    <w:rsid w:val="005860E0"/>
    <w:rsid w:val="005875DF"/>
    <w:rsid w:val="00587B09"/>
    <w:rsid w:val="00587F15"/>
    <w:rsid w:val="0059050B"/>
    <w:rsid w:val="00590831"/>
    <w:rsid w:val="00590F8D"/>
    <w:rsid w:val="005919E2"/>
    <w:rsid w:val="005925D7"/>
    <w:rsid w:val="0059281A"/>
    <w:rsid w:val="00592854"/>
    <w:rsid w:val="00592E3E"/>
    <w:rsid w:val="00592FF8"/>
    <w:rsid w:val="00593B37"/>
    <w:rsid w:val="005942E6"/>
    <w:rsid w:val="00594594"/>
    <w:rsid w:val="00594C59"/>
    <w:rsid w:val="0059514F"/>
    <w:rsid w:val="005951B2"/>
    <w:rsid w:val="005954AA"/>
    <w:rsid w:val="00595D49"/>
    <w:rsid w:val="005963C6"/>
    <w:rsid w:val="005964B6"/>
    <w:rsid w:val="00596B8F"/>
    <w:rsid w:val="00596CA2"/>
    <w:rsid w:val="005974E3"/>
    <w:rsid w:val="00597980"/>
    <w:rsid w:val="005A0349"/>
    <w:rsid w:val="005A16E9"/>
    <w:rsid w:val="005A1DC6"/>
    <w:rsid w:val="005A263F"/>
    <w:rsid w:val="005A2CA9"/>
    <w:rsid w:val="005A2FC0"/>
    <w:rsid w:val="005A3140"/>
    <w:rsid w:val="005A31A1"/>
    <w:rsid w:val="005A3935"/>
    <w:rsid w:val="005A47B0"/>
    <w:rsid w:val="005A5524"/>
    <w:rsid w:val="005A5DEA"/>
    <w:rsid w:val="005A65DC"/>
    <w:rsid w:val="005A6628"/>
    <w:rsid w:val="005A66E0"/>
    <w:rsid w:val="005A6BFD"/>
    <w:rsid w:val="005A7EDD"/>
    <w:rsid w:val="005B07BF"/>
    <w:rsid w:val="005B0823"/>
    <w:rsid w:val="005B143B"/>
    <w:rsid w:val="005B14E1"/>
    <w:rsid w:val="005B2A98"/>
    <w:rsid w:val="005B339C"/>
    <w:rsid w:val="005B3419"/>
    <w:rsid w:val="005B3DAE"/>
    <w:rsid w:val="005B478B"/>
    <w:rsid w:val="005B4E50"/>
    <w:rsid w:val="005B5E73"/>
    <w:rsid w:val="005B6D6B"/>
    <w:rsid w:val="005B76C3"/>
    <w:rsid w:val="005B7798"/>
    <w:rsid w:val="005B7E8A"/>
    <w:rsid w:val="005C0537"/>
    <w:rsid w:val="005C0C3E"/>
    <w:rsid w:val="005C0FB5"/>
    <w:rsid w:val="005C1DF3"/>
    <w:rsid w:val="005C1EC1"/>
    <w:rsid w:val="005C3165"/>
    <w:rsid w:val="005C3257"/>
    <w:rsid w:val="005C429D"/>
    <w:rsid w:val="005C46C5"/>
    <w:rsid w:val="005C73E1"/>
    <w:rsid w:val="005C79B9"/>
    <w:rsid w:val="005C7F16"/>
    <w:rsid w:val="005D02D9"/>
    <w:rsid w:val="005D0BC5"/>
    <w:rsid w:val="005D0BE5"/>
    <w:rsid w:val="005D19CF"/>
    <w:rsid w:val="005D1D3B"/>
    <w:rsid w:val="005D1D84"/>
    <w:rsid w:val="005D27D2"/>
    <w:rsid w:val="005D2BA5"/>
    <w:rsid w:val="005D46D9"/>
    <w:rsid w:val="005D4C43"/>
    <w:rsid w:val="005D4CDA"/>
    <w:rsid w:val="005D50E2"/>
    <w:rsid w:val="005D5246"/>
    <w:rsid w:val="005D6370"/>
    <w:rsid w:val="005D63B9"/>
    <w:rsid w:val="005D6D14"/>
    <w:rsid w:val="005D6E6A"/>
    <w:rsid w:val="005E0697"/>
    <w:rsid w:val="005E3418"/>
    <w:rsid w:val="005E348B"/>
    <w:rsid w:val="005E3516"/>
    <w:rsid w:val="005E4D66"/>
    <w:rsid w:val="005E534D"/>
    <w:rsid w:val="005E64D2"/>
    <w:rsid w:val="005E6C0F"/>
    <w:rsid w:val="005E7D20"/>
    <w:rsid w:val="005F07CF"/>
    <w:rsid w:val="005F0987"/>
    <w:rsid w:val="005F0C96"/>
    <w:rsid w:val="005F0F91"/>
    <w:rsid w:val="005F151A"/>
    <w:rsid w:val="005F2260"/>
    <w:rsid w:val="005F4243"/>
    <w:rsid w:val="005F5218"/>
    <w:rsid w:val="005F5B31"/>
    <w:rsid w:val="005F6286"/>
    <w:rsid w:val="005F62F9"/>
    <w:rsid w:val="005F69FB"/>
    <w:rsid w:val="005F71D0"/>
    <w:rsid w:val="005F7E4D"/>
    <w:rsid w:val="006008DF"/>
    <w:rsid w:val="006010D6"/>
    <w:rsid w:val="006011DD"/>
    <w:rsid w:val="00601294"/>
    <w:rsid w:val="00601D50"/>
    <w:rsid w:val="00601FA7"/>
    <w:rsid w:val="0060246C"/>
    <w:rsid w:val="00602CDD"/>
    <w:rsid w:val="00603249"/>
    <w:rsid w:val="00603558"/>
    <w:rsid w:val="006038B3"/>
    <w:rsid w:val="0060394B"/>
    <w:rsid w:val="00603D9B"/>
    <w:rsid w:val="006048A9"/>
    <w:rsid w:val="00604923"/>
    <w:rsid w:val="00604A6B"/>
    <w:rsid w:val="00604DB0"/>
    <w:rsid w:val="00605497"/>
    <w:rsid w:val="00605823"/>
    <w:rsid w:val="006068AE"/>
    <w:rsid w:val="00606C15"/>
    <w:rsid w:val="00606EC8"/>
    <w:rsid w:val="00607518"/>
    <w:rsid w:val="006078B3"/>
    <w:rsid w:val="00607A09"/>
    <w:rsid w:val="00607E0D"/>
    <w:rsid w:val="00607E5C"/>
    <w:rsid w:val="00610458"/>
    <w:rsid w:val="00610E22"/>
    <w:rsid w:val="00611952"/>
    <w:rsid w:val="00611FD4"/>
    <w:rsid w:val="006122B7"/>
    <w:rsid w:val="006123A6"/>
    <w:rsid w:val="00612B07"/>
    <w:rsid w:val="00612EDA"/>
    <w:rsid w:val="00613339"/>
    <w:rsid w:val="00613E36"/>
    <w:rsid w:val="00613F18"/>
    <w:rsid w:val="0061416D"/>
    <w:rsid w:val="00614570"/>
    <w:rsid w:val="00614DE0"/>
    <w:rsid w:val="006159BD"/>
    <w:rsid w:val="00615B2E"/>
    <w:rsid w:val="00616C2D"/>
    <w:rsid w:val="006178FA"/>
    <w:rsid w:val="00617B21"/>
    <w:rsid w:val="00620346"/>
    <w:rsid w:val="0062056C"/>
    <w:rsid w:val="00620665"/>
    <w:rsid w:val="006207A1"/>
    <w:rsid w:val="0062206F"/>
    <w:rsid w:val="006222D7"/>
    <w:rsid w:val="006224A0"/>
    <w:rsid w:val="00622591"/>
    <w:rsid w:val="006239FF"/>
    <w:rsid w:val="00623CD5"/>
    <w:rsid w:val="006240C7"/>
    <w:rsid w:val="006240FC"/>
    <w:rsid w:val="00624CF3"/>
    <w:rsid w:val="0062522E"/>
    <w:rsid w:val="0062575C"/>
    <w:rsid w:val="00626AE3"/>
    <w:rsid w:val="00626B8A"/>
    <w:rsid w:val="00626E2D"/>
    <w:rsid w:val="00626E99"/>
    <w:rsid w:val="00627D21"/>
    <w:rsid w:val="0063000D"/>
    <w:rsid w:val="00630262"/>
    <w:rsid w:val="00630702"/>
    <w:rsid w:val="00631162"/>
    <w:rsid w:val="00631D2E"/>
    <w:rsid w:val="00632139"/>
    <w:rsid w:val="0063215E"/>
    <w:rsid w:val="006334AD"/>
    <w:rsid w:val="0063386C"/>
    <w:rsid w:val="006338DC"/>
    <w:rsid w:val="00633F3B"/>
    <w:rsid w:val="00634AB4"/>
    <w:rsid w:val="00635F5E"/>
    <w:rsid w:val="006378B3"/>
    <w:rsid w:val="00640FB4"/>
    <w:rsid w:val="00641298"/>
    <w:rsid w:val="006423B5"/>
    <w:rsid w:val="006427FB"/>
    <w:rsid w:val="0064283A"/>
    <w:rsid w:val="00642930"/>
    <w:rsid w:val="00642CA6"/>
    <w:rsid w:val="00643817"/>
    <w:rsid w:val="0064388A"/>
    <w:rsid w:val="00644729"/>
    <w:rsid w:val="006455AD"/>
    <w:rsid w:val="006458C4"/>
    <w:rsid w:val="00645931"/>
    <w:rsid w:val="00645C2D"/>
    <w:rsid w:val="0064620D"/>
    <w:rsid w:val="00646DD0"/>
    <w:rsid w:val="00647DE1"/>
    <w:rsid w:val="006504F6"/>
    <w:rsid w:val="00650912"/>
    <w:rsid w:val="00650D4E"/>
    <w:rsid w:val="00651034"/>
    <w:rsid w:val="00651EB5"/>
    <w:rsid w:val="00652566"/>
    <w:rsid w:val="00652A90"/>
    <w:rsid w:val="00652FA5"/>
    <w:rsid w:val="006533E5"/>
    <w:rsid w:val="0065397C"/>
    <w:rsid w:val="00655188"/>
    <w:rsid w:val="006559F1"/>
    <w:rsid w:val="00655F5D"/>
    <w:rsid w:val="00656455"/>
    <w:rsid w:val="00656DAB"/>
    <w:rsid w:val="0065744F"/>
    <w:rsid w:val="00657901"/>
    <w:rsid w:val="006579D8"/>
    <w:rsid w:val="006612BD"/>
    <w:rsid w:val="006616C8"/>
    <w:rsid w:val="00661B96"/>
    <w:rsid w:val="00661F7D"/>
    <w:rsid w:val="00661F98"/>
    <w:rsid w:val="0066216E"/>
    <w:rsid w:val="00662691"/>
    <w:rsid w:val="006628F5"/>
    <w:rsid w:val="00662D13"/>
    <w:rsid w:val="00662F30"/>
    <w:rsid w:val="00663760"/>
    <w:rsid w:val="00663AF6"/>
    <w:rsid w:val="00663B15"/>
    <w:rsid w:val="006646B5"/>
    <w:rsid w:val="006653B5"/>
    <w:rsid w:val="00665831"/>
    <w:rsid w:val="006659A7"/>
    <w:rsid w:val="00665F76"/>
    <w:rsid w:val="00666195"/>
    <w:rsid w:val="00667526"/>
    <w:rsid w:val="00667559"/>
    <w:rsid w:val="0066792F"/>
    <w:rsid w:val="00667D09"/>
    <w:rsid w:val="00670EA3"/>
    <w:rsid w:val="00672236"/>
    <w:rsid w:val="00672485"/>
    <w:rsid w:val="0067263C"/>
    <w:rsid w:val="0067288B"/>
    <w:rsid w:val="00672B4C"/>
    <w:rsid w:val="00672DF3"/>
    <w:rsid w:val="00673799"/>
    <w:rsid w:val="00674215"/>
    <w:rsid w:val="00674ACF"/>
    <w:rsid w:val="00674E87"/>
    <w:rsid w:val="00675E06"/>
    <w:rsid w:val="00675FEA"/>
    <w:rsid w:val="006763ED"/>
    <w:rsid w:val="006765F5"/>
    <w:rsid w:val="006777B0"/>
    <w:rsid w:val="006779A3"/>
    <w:rsid w:val="00680745"/>
    <w:rsid w:val="00680CC7"/>
    <w:rsid w:val="006815D4"/>
    <w:rsid w:val="00682FE3"/>
    <w:rsid w:val="0068313A"/>
    <w:rsid w:val="00684032"/>
    <w:rsid w:val="006854F1"/>
    <w:rsid w:val="00687550"/>
    <w:rsid w:val="006877DD"/>
    <w:rsid w:val="006879B6"/>
    <w:rsid w:val="00687B1E"/>
    <w:rsid w:val="00687E8B"/>
    <w:rsid w:val="00690249"/>
    <w:rsid w:val="006903F7"/>
    <w:rsid w:val="006907B4"/>
    <w:rsid w:val="006910D9"/>
    <w:rsid w:val="006911CF"/>
    <w:rsid w:val="00691B30"/>
    <w:rsid w:val="00692931"/>
    <w:rsid w:val="00692A8C"/>
    <w:rsid w:val="00692C53"/>
    <w:rsid w:val="0069514B"/>
    <w:rsid w:val="006957B2"/>
    <w:rsid w:val="00695DBD"/>
    <w:rsid w:val="006960B9"/>
    <w:rsid w:val="006969A9"/>
    <w:rsid w:val="00697017"/>
    <w:rsid w:val="00697579"/>
    <w:rsid w:val="006A03CB"/>
    <w:rsid w:val="006A075B"/>
    <w:rsid w:val="006A0D79"/>
    <w:rsid w:val="006A1CBB"/>
    <w:rsid w:val="006A32F9"/>
    <w:rsid w:val="006A3EF0"/>
    <w:rsid w:val="006A426A"/>
    <w:rsid w:val="006A475A"/>
    <w:rsid w:val="006A4BBA"/>
    <w:rsid w:val="006A4E84"/>
    <w:rsid w:val="006A4F8E"/>
    <w:rsid w:val="006A58A8"/>
    <w:rsid w:val="006A7C45"/>
    <w:rsid w:val="006A7C52"/>
    <w:rsid w:val="006B0199"/>
    <w:rsid w:val="006B06EF"/>
    <w:rsid w:val="006B16AE"/>
    <w:rsid w:val="006B24F5"/>
    <w:rsid w:val="006B2BF7"/>
    <w:rsid w:val="006B2D10"/>
    <w:rsid w:val="006B2F54"/>
    <w:rsid w:val="006B3082"/>
    <w:rsid w:val="006B3185"/>
    <w:rsid w:val="006B3640"/>
    <w:rsid w:val="006B3C6E"/>
    <w:rsid w:val="006B45A4"/>
    <w:rsid w:val="006B568A"/>
    <w:rsid w:val="006B59D9"/>
    <w:rsid w:val="006B5DCF"/>
    <w:rsid w:val="006B614F"/>
    <w:rsid w:val="006B6728"/>
    <w:rsid w:val="006B7CC7"/>
    <w:rsid w:val="006B7FCB"/>
    <w:rsid w:val="006C0C89"/>
    <w:rsid w:val="006C14E5"/>
    <w:rsid w:val="006C180B"/>
    <w:rsid w:val="006C18F9"/>
    <w:rsid w:val="006C1FC7"/>
    <w:rsid w:val="006C2824"/>
    <w:rsid w:val="006C4380"/>
    <w:rsid w:val="006C4CE2"/>
    <w:rsid w:val="006C5091"/>
    <w:rsid w:val="006C55C9"/>
    <w:rsid w:val="006C6AFB"/>
    <w:rsid w:val="006C7588"/>
    <w:rsid w:val="006D0A10"/>
    <w:rsid w:val="006D195A"/>
    <w:rsid w:val="006D2C2A"/>
    <w:rsid w:val="006D3755"/>
    <w:rsid w:val="006D3786"/>
    <w:rsid w:val="006D3900"/>
    <w:rsid w:val="006D3C2F"/>
    <w:rsid w:val="006D436C"/>
    <w:rsid w:val="006D4E5C"/>
    <w:rsid w:val="006D5058"/>
    <w:rsid w:val="006D5A4A"/>
    <w:rsid w:val="006D62CA"/>
    <w:rsid w:val="006D62D4"/>
    <w:rsid w:val="006D6AB7"/>
    <w:rsid w:val="006D7BD6"/>
    <w:rsid w:val="006E0885"/>
    <w:rsid w:val="006E0DA1"/>
    <w:rsid w:val="006E15A9"/>
    <w:rsid w:val="006E1929"/>
    <w:rsid w:val="006E1D1F"/>
    <w:rsid w:val="006E2135"/>
    <w:rsid w:val="006E2604"/>
    <w:rsid w:val="006E26AF"/>
    <w:rsid w:val="006E3AC2"/>
    <w:rsid w:val="006E3CA9"/>
    <w:rsid w:val="006E40BB"/>
    <w:rsid w:val="006E41F6"/>
    <w:rsid w:val="006E44A6"/>
    <w:rsid w:val="006E44BD"/>
    <w:rsid w:val="006E47CE"/>
    <w:rsid w:val="006E4E5F"/>
    <w:rsid w:val="006E5908"/>
    <w:rsid w:val="006E5ABA"/>
    <w:rsid w:val="006E5E04"/>
    <w:rsid w:val="006F0894"/>
    <w:rsid w:val="006F09C7"/>
    <w:rsid w:val="006F0A81"/>
    <w:rsid w:val="006F0D62"/>
    <w:rsid w:val="006F29AD"/>
    <w:rsid w:val="006F2A1C"/>
    <w:rsid w:val="006F32ED"/>
    <w:rsid w:val="006F3950"/>
    <w:rsid w:val="006F3A0D"/>
    <w:rsid w:val="006F5D38"/>
    <w:rsid w:val="006F793F"/>
    <w:rsid w:val="006F7D33"/>
    <w:rsid w:val="006F7F56"/>
    <w:rsid w:val="006F7FEF"/>
    <w:rsid w:val="0070012A"/>
    <w:rsid w:val="00700D6A"/>
    <w:rsid w:val="007016F5"/>
    <w:rsid w:val="00702A68"/>
    <w:rsid w:val="0070340A"/>
    <w:rsid w:val="00703B80"/>
    <w:rsid w:val="00704348"/>
    <w:rsid w:val="00704988"/>
    <w:rsid w:val="00705009"/>
    <w:rsid w:val="00710362"/>
    <w:rsid w:val="0071040D"/>
    <w:rsid w:val="00710DA1"/>
    <w:rsid w:val="00711322"/>
    <w:rsid w:val="007117C6"/>
    <w:rsid w:val="007119F1"/>
    <w:rsid w:val="00711C17"/>
    <w:rsid w:val="00711CA9"/>
    <w:rsid w:val="00711F42"/>
    <w:rsid w:val="00713EFC"/>
    <w:rsid w:val="007145A6"/>
    <w:rsid w:val="0071510E"/>
    <w:rsid w:val="00715EA2"/>
    <w:rsid w:val="0071601E"/>
    <w:rsid w:val="007165F1"/>
    <w:rsid w:val="00716643"/>
    <w:rsid w:val="007167FC"/>
    <w:rsid w:val="00716924"/>
    <w:rsid w:val="0071699F"/>
    <w:rsid w:val="00717081"/>
    <w:rsid w:val="00717B5C"/>
    <w:rsid w:val="00720574"/>
    <w:rsid w:val="007211C3"/>
    <w:rsid w:val="00721271"/>
    <w:rsid w:val="007216D6"/>
    <w:rsid w:val="00722CD4"/>
    <w:rsid w:val="00723323"/>
    <w:rsid w:val="00723A45"/>
    <w:rsid w:val="00723CC1"/>
    <w:rsid w:val="00723D30"/>
    <w:rsid w:val="007244F4"/>
    <w:rsid w:val="007264B3"/>
    <w:rsid w:val="0072657A"/>
    <w:rsid w:val="00730894"/>
    <w:rsid w:val="007313AA"/>
    <w:rsid w:val="00731469"/>
    <w:rsid w:val="007317CB"/>
    <w:rsid w:val="0073202A"/>
    <w:rsid w:val="0073232F"/>
    <w:rsid w:val="007329A5"/>
    <w:rsid w:val="00732A1F"/>
    <w:rsid w:val="00732CDB"/>
    <w:rsid w:val="00732EB1"/>
    <w:rsid w:val="007344EC"/>
    <w:rsid w:val="007358E9"/>
    <w:rsid w:val="00735B87"/>
    <w:rsid w:val="00735F36"/>
    <w:rsid w:val="007361C0"/>
    <w:rsid w:val="00736479"/>
    <w:rsid w:val="00736656"/>
    <w:rsid w:val="0073793D"/>
    <w:rsid w:val="00737D32"/>
    <w:rsid w:val="00740162"/>
    <w:rsid w:val="007407DF"/>
    <w:rsid w:val="0074093A"/>
    <w:rsid w:val="00740FDA"/>
    <w:rsid w:val="0074258F"/>
    <w:rsid w:val="00742ABF"/>
    <w:rsid w:val="00744426"/>
    <w:rsid w:val="00744522"/>
    <w:rsid w:val="00744AEC"/>
    <w:rsid w:val="007451E4"/>
    <w:rsid w:val="0074568C"/>
    <w:rsid w:val="00746AB0"/>
    <w:rsid w:val="00746E10"/>
    <w:rsid w:val="007470F1"/>
    <w:rsid w:val="00750574"/>
    <w:rsid w:val="0075085C"/>
    <w:rsid w:val="00750E18"/>
    <w:rsid w:val="00751070"/>
    <w:rsid w:val="007511EB"/>
    <w:rsid w:val="00751E05"/>
    <w:rsid w:val="007532B3"/>
    <w:rsid w:val="007546BF"/>
    <w:rsid w:val="00754785"/>
    <w:rsid w:val="007552A6"/>
    <w:rsid w:val="00755B8D"/>
    <w:rsid w:val="00755EEB"/>
    <w:rsid w:val="00755F01"/>
    <w:rsid w:val="0075616A"/>
    <w:rsid w:val="00756746"/>
    <w:rsid w:val="0075695E"/>
    <w:rsid w:val="0075753F"/>
    <w:rsid w:val="007578C2"/>
    <w:rsid w:val="00757CD8"/>
    <w:rsid w:val="0076034D"/>
    <w:rsid w:val="00760593"/>
    <w:rsid w:val="00760724"/>
    <w:rsid w:val="00761DF9"/>
    <w:rsid w:val="007623EF"/>
    <w:rsid w:val="0076262D"/>
    <w:rsid w:val="007626B7"/>
    <w:rsid w:val="00762C9C"/>
    <w:rsid w:val="00763FB9"/>
    <w:rsid w:val="00764493"/>
    <w:rsid w:val="00765C3F"/>
    <w:rsid w:val="007667E2"/>
    <w:rsid w:val="00766BB7"/>
    <w:rsid w:val="00767024"/>
    <w:rsid w:val="00767677"/>
    <w:rsid w:val="00767685"/>
    <w:rsid w:val="00770950"/>
    <w:rsid w:val="00770B09"/>
    <w:rsid w:val="00770CA7"/>
    <w:rsid w:val="00771ADC"/>
    <w:rsid w:val="0077249B"/>
    <w:rsid w:val="00772B09"/>
    <w:rsid w:val="00773B18"/>
    <w:rsid w:val="0077475F"/>
    <w:rsid w:val="00774E9C"/>
    <w:rsid w:val="0077597B"/>
    <w:rsid w:val="00775A7E"/>
    <w:rsid w:val="00775D1B"/>
    <w:rsid w:val="00777313"/>
    <w:rsid w:val="00777437"/>
    <w:rsid w:val="0077754C"/>
    <w:rsid w:val="007775D8"/>
    <w:rsid w:val="00777A0F"/>
    <w:rsid w:val="00780601"/>
    <w:rsid w:val="00780613"/>
    <w:rsid w:val="00780FD0"/>
    <w:rsid w:val="007816AB"/>
    <w:rsid w:val="007816B6"/>
    <w:rsid w:val="00781ED7"/>
    <w:rsid w:val="00781EE9"/>
    <w:rsid w:val="00782CFF"/>
    <w:rsid w:val="0078389B"/>
    <w:rsid w:val="00783A56"/>
    <w:rsid w:val="00784337"/>
    <w:rsid w:val="00784D37"/>
    <w:rsid w:val="00784E78"/>
    <w:rsid w:val="00786426"/>
    <w:rsid w:val="00786931"/>
    <w:rsid w:val="00786A5E"/>
    <w:rsid w:val="00786ECB"/>
    <w:rsid w:val="007870EB"/>
    <w:rsid w:val="007872E6"/>
    <w:rsid w:val="0078774D"/>
    <w:rsid w:val="00787914"/>
    <w:rsid w:val="00787CA2"/>
    <w:rsid w:val="00787F8B"/>
    <w:rsid w:val="007904DE"/>
    <w:rsid w:val="00790DC0"/>
    <w:rsid w:val="00790F10"/>
    <w:rsid w:val="0079196E"/>
    <w:rsid w:val="00792842"/>
    <w:rsid w:val="00792A97"/>
    <w:rsid w:val="007947A3"/>
    <w:rsid w:val="00794836"/>
    <w:rsid w:val="00795889"/>
    <w:rsid w:val="00795C79"/>
    <w:rsid w:val="00797654"/>
    <w:rsid w:val="00797D6A"/>
    <w:rsid w:val="00797D78"/>
    <w:rsid w:val="00797D99"/>
    <w:rsid w:val="007A0E22"/>
    <w:rsid w:val="007A11F9"/>
    <w:rsid w:val="007A1CEA"/>
    <w:rsid w:val="007A40D5"/>
    <w:rsid w:val="007A42A7"/>
    <w:rsid w:val="007A471E"/>
    <w:rsid w:val="007A48D9"/>
    <w:rsid w:val="007A4CAF"/>
    <w:rsid w:val="007A502B"/>
    <w:rsid w:val="007A54DA"/>
    <w:rsid w:val="007A5801"/>
    <w:rsid w:val="007A674E"/>
    <w:rsid w:val="007A6AB1"/>
    <w:rsid w:val="007A7028"/>
    <w:rsid w:val="007B0B63"/>
    <w:rsid w:val="007B114C"/>
    <w:rsid w:val="007B1AA7"/>
    <w:rsid w:val="007B21CB"/>
    <w:rsid w:val="007B24B6"/>
    <w:rsid w:val="007B3492"/>
    <w:rsid w:val="007B4266"/>
    <w:rsid w:val="007B522D"/>
    <w:rsid w:val="007B59CA"/>
    <w:rsid w:val="007B6826"/>
    <w:rsid w:val="007B6982"/>
    <w:rsid w:val="007B6B53"/>
    <w:rsid w:val="007B741C"/>
    <w:rsid w:val="007B789C"/>
    <w:rsid w:val="007B7E04"/>
    <w:rsid w:val="007C0397"/>
    <w:rsid w:val="007C1301"/>
    <w:rsid w:val="007C1644"/>
    <w:rsid w:val="007C1F04"/>
    <w:rsid w:val="007C1FC0"/>
    <w:rsid w:val="007C2A8E"/>
    <w:rsid w:val="007C3C41"/>
    <w:rsid w:val="007C428C"/>
    <w:rsid w:val="007C45AE"/>
    <w:rsid w:val="007C4AD0"/>
    <w:rsid w:val="007C4B2D"/>
    <w:rsid w:val="007C4F52"/>
    <w:rsid w:val="007C58E3"/>
    <w:rsid w:val="007C5A3D"/>
    <w:rsid w:val="007C62D3"/>
    <w:rsid w:val="007C688B"/>
    <w:rsid w:val="007C6C2A"/>
    <w:rsid w:val="007C6E64"/>
    <w:rsid w:val="007D18D6"/>
    <w:rsid w:val="007D1CCB"/>
    <w:rsid w:val="007D2413"/>
    <w:rsid w:val="007D27BB"/>
    <w:rsid w:val="007D2E14"/>
    <w:rsid w:val="007D464D"/>
    <w:rsid w:val="007D47B3"/>
    <w:rsid w:val="007D492A"/>
    <w:rsid w:val="007D5ECD"/>
    <w:rsid w:val="007D717D"/>
    <w:rsid w:val="007D7924"/>
    <w:rsid w:val="007D7FB1"/>
    <w:rsid w:val="007E09D2"/>
    <w:rsid w:val="007E2B58"/>
    <w:rsid w:val="007E34D6"/>
    <w:rsid w:val="007E3544"/>
    <w:rsid w:val="007E380F"/>
    <w:rsid w:val="007E4129"/>
    <w:rsid w:val="007E4272"/>
    <w:rsid w:val="007E44A3"/>
    <w:rsid w:val="007E495E"/>
    <w:rsid w:val="007E4D8B"/>
    <w:rsid w:val="007E517E"/>
    <w:rsid w:val="007E54FB"/>
    <w:rsid w:val="007E5A7D"/>
    <w:rsid w:val="007E6789"/>
    <w:rsid w:val="007E6902"/>
    <w:rsid w:val="007E7623"/>
    <w:rsid w:val="007E7957"/>
    <w:rsid w:val="007E7C47"/>
    <w:rsid w:val="007E7F10"/>
    <w:rsid w:val="007F08CB"/>
    <w:rsid w:val="007F0975"/>
    <w:rsid w:val="007F10A8"/>
    <w:rsid w:val="007F1A5D"/>
    <w:rsid w:val="007F1B62"/>
    <w:rsid w:val="007F1C22"/>
    <w:rsid w:val="007F2572"/>
    <w:rsid w:val="007F30AE"/>
    <w:rsid w:val="007F3344"/>
    <w:rsid w:val="007F34D3"/>
    <w:rsid w:val="007F3E43"/>
    <w:rsid w:val="007F407E"/>
    <w:rsid w:val="007F43B1"/>
    <w:rsid w:val="007F47A1"/>
    <w:rsid w:val="007F500A"/>
    <w:rsid w:val="007F5C6E"/>
    <w:rsid w:val="007F62D3"/>
    <w:rsid w:val="007F6D09"/>
    <w:rsid w:val="007F7476"/>
    <w:rsid w:val="007F776A"/>
    <w:rsid w:val="0080078B"/>
    <w:rsid w:val="008008E3"/>
    <w:rsid w:val="00801274"/>
    <w:rsid w:val="00801F3F"/>
    <w:rsid w:val="008025B8"/>
    <w:rsid w:val="00802752"/>
    <w:rsid w:val="0080277F"/>
    <w:rsid w:val="008036F2"/>
    <w:rsid w:val="00803AA2"/>
    <w:rsid w:val="00803C6E"/>
    <w:rsid w:val="008044C7"/>
    <w:rsid w:val="0080487B"/>
    <w:rsid w:val="00805074"/>
    <w:rsid w:val="00805C24"/>
    <w:rsid w:val="008068D7"/>
    <w:rsid w:val="00806AC7"/>
    <w:rsid w:val="00806F7C"/>
    <w:rsid w:val="00807426"/>
    <w:rsid w:val="008100D9"/>
    <w:rsid w:val="008101AD"/>
    <w:rsid w:val="008105FB"/>
    <w:rsid w:val="00811CDB"/>
    <w:rsid w:val="00811D44"/>
    <w:rsid w:val="00813622"/>
    <w:rsid w:val="008138EE"/>
    <w:rsid w:val="00813DF5"/>
    <w:rsid w:val="00815359"/>
    <w:rsid w:val="0081563E"/>
    <w:rsid w:val="00816928"/>
    <w:rsid w:val="008206EF"/>
    <w:rsid w:val="00820E15"/>
    <w:rsid w:val="00820FD1"/>
    <w:rsid w:val="00822215"/>
    <w:rsid w:val="0082318D"/>
    <w:rsid w:val="00823D23"/>
    <w:rsid w:val="00824081"/>
    <w:rsid w:val="008247A1"/>
    <w:rsid w:val="0082482D"/>
    <w:rsid w:val="00824B19"/>
    <w:rsid w:val="00824DED"/>
    <w:rsid w:val="00824E39"/>
    <w:rsid w:val="008258A9"/>
    <w:rsid w:val="00826455"/>
    <w:rsid w:val="008268C0"/>
    <w:rsid w:val="00826996"/>
    <w:rsid w:val="00827F4F"/>
    <w:rsid w:val="00830490"/>
    <w:rsid w:val="00830CF2"/>
    <w:rsid w:val="00831905"/>
    <w:rsid w:val="00831CA9"/>
    <w:rsid w:val="0083202A"/>
    <w:rsid w:val="00832CEC"/>
    <w:rsid w:val="00832EEF"/>
    <w:rsid w:val="00833564"/>
    <w:rsid w:val="0083422E"/>
    <w:rsid w:val="00834331"/>
    <w:rsid w:val="00834AC1"/>
    <w:rsid w:val="00834E6F"/>
    <w:rsid w:val="008360A3"/>
    <w:rsid w:val="00836309"/>
    <w:rsid w:val="008369C7"/>
    <w:rsid w:val="00836B88"/>
    <w:rsid w:val="008379F3"/>
    <w:rsid w:val="00840871"/>
    <w:rsid w:val="00840A3A"/>
    <w:rsid w:val="00840D74"/>
    <w:rsid w:val="00840F27"/>
    <w:rsid w:val="00841267"/>
    <w:rsid w:val="008418E2"/>
    <w:rsid w:val="00842554"/>
    <w:rsid w:val="008440B3"/>
    <w:rsid w:val="00844407"/>
    <w:rsid w:val="00845440"/>
    <w:rsid w:val="008454D3"/>
    <w:rsid w:val="00845B35"/>
    <w:rsid w:val="00845DC0"/>
    <w:rsid w:val="00846600"/>
    <w:rsid w:val="00846A35"/>
    <w:rsid w:val="00847938"/>
    <w:rsid w:val="00850C61"/>
    <w:rsid w:val="00851218"/>
    <w:rsid w:val="00851227"/>
    <w:rsid w:val="008513EB"/>
    <w:rsid w:val="00851B0B"/>
    <w:rsid w:val="00852A53"/>
    <w:rsid w:val="00852B58"/>
    <w:rsid w:val="0085314E"/>
    <w:rsid w:val="00853323"/>
    <w:rsid w:val="0085339B"/>
    <w:rsid w:val="00853CF4"/>
    <w:rsid w:val="00853E55"/>
    <w:rsid w:val="0085485B"/>
    <w:rsid w:val="00854B98"/>
    <w:rsid w:val="00856666"/>
    <w:rsid w:val="00856E33"/>
    <w:rsid w:val="00860637"/>
    <w:rsid w:val="00860A5D"/>
    <w:rsid w:val="00860C34"/>
    <w:rsid w:val="008615F3"/>
    <w:rsid w:val="00861BBC"/>
    <w:rsid w:val="00861C36"/>
    <w:rsid w:val="008643DD"/>
    <w:rsid w:val="00865C74"/>
    <w:rsid w:val="00866002"/>
    <w:rsid w:val="00866AD9"/>
    <w:rsid w:val="008671D6"/>
    <w:rsid w:val="0087013C"/>
    <w:rsid w:val="00870A17"/>
    <w:rsid w:val="00870B4D"/>
    <w:rsid w:val="00870E2E"/>
    <w:rsid w:val="00870FC5"/>
    <w:rsid w:val="00871686"/>
    <w:rsid w:val="008716AB"/>
    <w:rsid w:val="00872DED"/>
    <w:rsid w:val="00873174"/>
    <w:rsid w:val="00873305"/>
    <w:rsid w:val="008735E6"/>
    <w:rsid w:val="00873809"/>
    <w:rsid w:val="00873B38"/>
    <w:rsid w:val="00873E68"/>
    <w:rsid w:val="00874149"/>
    <w:rsid w:val="00874E75"/>
    <w:rsid w:val="008767CE"/>
    <w:rsid w:val="00876E13"/>
    <w:rsid w:val="00876EA6"/>
    <w:rsid w:val="0087728A"/>
    <w:rsid w:val="00877DF1"/>
    <w:rsid w:val="00880B93"/>
    <w:rsid w:val="008811AF"/>
    <w:rsid w:val="00881C0A"/>
    <w:rsid w:val="0088255C"/>
    <w:rsid w:val="00883B0E"/>
    <w:rsid w:val="00884A6C"/>
    <w:rsid w:val="00884D3F"/>
    <w:rsid w:val="008852D2"/>
    <w:rsid w:val="00885F3A"/>
    <w:rsid w:val="0088632B"/>
    <w:rsid w:val="00886340"/>
    <w:rsid w:val="008865E5"/>
    <w:rsid w:val="00886DAF"/>
    <w:rsid w:val="008908E7"/>
    <w:rsid w:val="00890CE2"/>
    <w:rsid w:val="00890DEF"/>
    <w:rsid w:val="00890DFE"/>
    <w:rsid w:val="00892A1E"/>
    <w:rsid w:val="00893363"/>
    <w:rsid w:val="00893614"/>
    <w:rsid w:val="0089382C"/>
    <w:rsid w:val="00893996"/>
    <w:rsid w:val="00893A6D"/>
    <w:rsid w:val="00894A7F"/>
    <w:rsid w:val="00896B13"/>
    <w:rsid w:val="0089703D"/>
    <w:rsid w:val="00897614"/>
    <w:rsid w:val="0089790E"/>
    <w:rsid w:val="00897E44"/>
    <w:rsid w:val="008A047E"/>
    <w:rsid w:val="008A1478"/>
    <w:rsid w:val="008A2856"/>
    <w:rsid w:val="008A2B79"/>
    <w:rsid w:val="008A37D4"/>
    <w:rsid w:val="008A37E1"/>
    <w:rsid w:val="008A3DB5"/>
    <w:rsid w:val="008A4F2C"/>
    <w:rsid w:val="008A4F76"/>
    <w:rsid w:val="008A52C5"/>
    <w:rsid w:val="008A5A5A"/>
    <w:rsid w:val="008A607F"/>
    <w:rsid w:val="008A6D7C"/>
    <w:rsid w:val="008A6E34"/>
    <w:rsid w:val="008A704C"/>
    <w:rsid w:val="008A724F"/>
    <w:rsid w:val="008A747E"/>
    <w:rsid w:val="008A7751"/>
    <w:rsid w:val="008A7A85"/>
    <w:rsid w:val="008B0971"/>
    <w:rsid w:val="008B0C52"/>
    <w:rsid w:val="008B116D"/>
    <w:rsid w:val="008B26EC"/>
    <w:rsid w:val="008B3631"/>
    <w:rsid w:val="008B4469"/>
    <w:rsid w:val="008B4975"/>
    <w:rsid w:val="008B51FC"/>
    <w:rsid w:val="008B543A"/>
    <w:rsid w:val="008B6BE9"/>
    <w:rsid w:val="008C00C8"/>
    <w:rsid w:val="008C0498"/>
    <w:rsid w:val="008C0AC6"/>
    <w:rsid w:val="008C0B94"/>
    <w:rsid w:val="008C0BBC"/>
    <w:rsid w:val="008C131E"/>
    <w:rsid w:val="008C1A66"/>
    <w:rsid w:val="008C20D5"/>
    <w:rsid w:val="008C3DA9"/>
    <w:rsid w:val="008C4059"/>
    <w:rsid w:val="008C4B42"/>
    <w:rsid w:val="008C4C68"/>
    <w:rsid w:val="008C4CB2"/>
    <w:rsid w:val="008C539F"/>
    <w:rsid w:val="008C5D88"/>
    <w:rsid w:val="008C5EED"/>
    <w:rsid w:val="008C72DD"/>
    <w:rsid w:val="008D05A7"/>
    <w:rsid w:val="008D18EF"/>
    <w:rsid w:val="008D1A4C"/>
    <w:rsid w:val="008D1EAF"/>
    <w:rsid w:val="008D1ECE"/>
    <w:rsid w:val="008D28DB"/>
    <w:rsid w:val="008D2A43"/>
    <w:rsid w:val="008D2F66"/>
    <w:rsid w:val="008D36BC"/>
    <w:rsid w:val="008D3B7A"/>
    <w:rsid w:val="008D4969"/>
    <w:rsid w:val="008D4B54"/>
    <w:rsid w:val="008D5CE8"/>
    <w:rsid w:val="008D6420"/>
    <w:rsid w:val="008D6454"/>
    <w:rsid w:val="008D64BE"/>
    <w:rsid w:val="008D64D2"/>
    <w:rsid w:val="008D6D06"/>
    <w:rsid w:val="008D7287"/>
    <w:rsid w:val="008D758E"/>
    <w:rsid w:val="008D77D1"/>
    <w:rsid w:val="008D7C13"/>
    <w:rsid w:val="008E065E"/>
    <w:rsid w:val="008E1621"/>
    <w:rsid w:val="008E1720"/>
    <w:rsid w:val="008E2005"/>
    <w:rsid w:val="008E2229"/>
    <w:rsid w:val="008E2A10"/>
    <w:rsid w:val="008E314B"/>
    <w:rsid w:val="008E396C"/>
    <w:rsid w:val="008E3A32"/>
    <w:rsid w:val="008E3A35"/>
    <w:rsid w:val="008E4512"/>
    <w:rsid w:val="008E4B03"/>
    <w:rsid w:val="008E4D63"/>
    <w:rsid w:val="008E5037"/>
    <w:rsid w:val="008E52D2"/>
    <w:rsid w:val="008E5B9B"/>
    <w:rsid w:val="008E63A4"/>
    <w:rsid w:val="008E66E9"/>
    <w:rsid w:val="008E6919"/>
    <w:rsid w:val="008E6EA4"/>
    <w:rsid w:val="008E72FA"/>
    <w:rsid w:val="008E768D"/>
    <w:rsid w:val="008E77C3"/>
    <w:rsid w:val="008E7C33"/>
    <w:rsid w:val="008F0400"/>
    <w:rsid w:val="008F0A33"/>
    <w:rsid w:val="008F0A92"/>
    <w:rsid w:val="008F0C77"/>
    <w:rsid w:val="008F1D3A"/>
    <w:rsid w:val="008F2685"/>
    <w:rsid w:val="008F2FD1"/>
    <w:rsid w:val="008F418A"/>
    <w:rsid w:val="008F4A0E"/>
    <w:rsid w:val="008F4D96"/>
    <w:rsid w:val="008F5D9D"/>
    <w:rsid w:val="008F606F"/>
    <w:rsid w:val="008F6862"/>
    <w:rsid w:val="008F7050"/>
    <w:rsid w:val="008F76F1"/>
    <w:rsid w:val="008F7A13"/>
    <w:rsid w:val="00900E37"/>
    <w:rsid w:val="009019A7"/>
    <w:rsid w:val="00901F6A"/>
    <w:rsid w:val="0090300C"/>
    <w:rsid w:val="0090324D"/>
    <w:rsid w:val="00903739"/>
    <w:rsid w:val="00903B6C"/>
    <w:rsid w:val="00903BEE"/>
    <w:rsid w:val="00904783"/>
    <w:rsid w:val="00904919"/>
    <w:rsid w:val="00905341"/>
    <w:rsid w:val="009058C7"/>
    <w:rsid w:val="00905CB2"/>
    <w:rsid w:val="0090631C"/>
    <w:rsid w:val="009064B4"/>
    <w:rsid w:val="009066C0"/>
    <w:rsid w:val="0090744A"/>
    <w:rsid w:val="009074E0"/>
    <w:rsid w:val="00907947"/>
    <w:rsid w:val="00907AF4"/>
    <w:rsid w:val="00907C1D"/>
    <w:rsid w:val="00907D26"/>
    <w:rsid w:val="00911791"/>
    <w:rsid w:val="00912692"/>
    <w:rsid w:val="00912E4C"/>
    <w:rsid w:val="0091354F"/>
    <w:rsid w:val="009146C4"/>
    <w:rsid w:val="00914AC0"/>
    <w:rsid w:val="00914F65"/>
    <w:rsid w:val="009155E1"/>
    <w:rsid w:val="00916D93"/>
    <w:rsid w:val="00917F6C"/>
    <w:rsid w:val="00920980"/>
    <w:rsid w:val="00920AB4"/>
    <w:rsid w:val="00920B77"/>
    <w:rsid w:val="009213E8"/>
    <w:rsid w:val="00921530"/>
    <w:rsid w:val="0092165C"/>
    <w:rsid w:val="00921ACC"/>
    <w:rsid w:val="009223EC"/>
    <w:rsid w:val="0092355D"/>
    <w:rsid w:val="00923DB7"/>
    <w:rsid w:val="0092480A"/>
    <w:rsid w:val="00925AA4"/>
    <w:rsid w:val="00925B64"/>
    <w:rsid w:val="00925F38"/>
    <w:rsid w:val="00926A39"/>
    <w:rsid w:val="00926CA5"/>
    <w:rsid w:val="00927078"/>
    <w:rsid w:val="009274E9"/>
    <w:rsid w:val="00927577"/>
    <w:rsid w:val="0092790F"/>
    <w:rsid w:val="009301FA"/>
    <w:rsid w:val="00930308"/>
    <w:rsid w:val="0093046C"/>
    <w:rsid w:val="00930741"/>
    <w:rsid w:val="00931755"/>
    <w:rsid w:val="00931BC6"/>
    <w:rsid w:val="00932555"/>
    <w:rsid w:val="00932F1D"/>
    <w:rsid w:val="009337E6"/>
    <w:rsid w:val="00933F54"/>
    <w:rsid w:val="00937275"/>
    <w:rsid w:val="0093784E"/>
    <w:rsid w:val="00937EC0"/>
    <w:rsid w:val="0094079E"/>
    <w:rsid w:val="0094145A"/>
    <w:rsid w:val="0094195B"/>
    <w:rsid w:val="00942641"/>
    <w:rsid w:val="00943309"/>
    <w:rsid w:val="009434FC"/>
    <w:rsid w:val="00944A5C"/>
    <w:rsid w:val="00945BBF"/>
    <w:rsid w:val="00945BE7"/>
    <w:rsid w:val="00946349"/>
    <w:rsid w:val="00946690"/>
    <w:rsid w:val="00946BE5"/>
    <w:rsid w:val="00946EC3"/>
    <w:rsid w:val="00947F41"/>
    <w:rsid w:val="00950100"/>
    <w:rsid w:val="00950A31"/>
    <w:rsid w:val="00950B2B"/>
    <w:rsid w:val="00950B5A"/>
    <w:rsid w:val="009510B2"/>
    <w:rsid w:val="009516CD"/>
    <w:rsid w:val="00952CA2"/>
    <w:rsid w:val="0095335C"/>
    <w:rsid w:val="00953F0C"/>
    <w:rsid w:val="00954FEE"/>
    <w:rsid w:val="00956143"/>
    <w:rsid w:val="0095739D"/>
    <w:rsid w:val="00960CA7"/>
    <w:rsid w:val="009611A8"/>
    <w:rsid w:val="00961DC0"/>
    <w:rsid w:val="00962A0B"/>
    <w:rsid w:val="009633AA"/>
    <w:rsid w:val="00963652"/>
    <w:rsid w:val="00964511"/>
    <w:rsid w:val="00966755"/>
    <w:rsid w:val="00967267"/>
    <w:rsid w:val="00970632"/>
    <w:rsid w:val="0097129D"/>
    <w:rsid w:val="0097139D"/>
    <w:rsid w:val="00971609"/>
    <w:rsid w:val="00971C66"/>
    <w:rsid w:val="00974183"/>
    <w:rsid w:val="00974D00"/>
    <w:rsid w:val="0097595F"/>
    <w:rsid w:val="00976B20"/>
    <w:rsid w:val="0097770F"/>
    <w:rsid w:val="00977718"/>
    <w:rsid w:val="0098028F"/>
    <w:rsid w:val="0098175A"/>
    <w:rsid w:val="009818E8"/>
    <w:rsid w:val="00981B48"/>
    <w:rsid w:val="009824E0"/>
    <w:rsid w:val="00982C21"/>
    <w:rsid w:val="00985BD9"/>
    <w:rsid w:val="009870C3"/>
    <w:rsid w:val="0098768A"/>
    <w:rsid w:val="00987F53"/>
    <w:rsid w:val="0099115C"/>
    <w:rsid w:val="00991621"/>
    <w:rsid w:val="0099230C"/>
    <w:rsid w:val="00992406"/>
    <w:rsid w:val="00992543"/>
    <w:rsid w:val="00992B16"/>
    <w:rsid w:val="00992D96"/>
    <w:rsid w:val="00992E12"/>
    <w:rsid w:val="00993850"/>
    <w:rsid w:val="00993BF1"/>
    <w:rsid w:val="0099565D"/>
    <w:rsid w:val="00995DC7"/>
    <w:rsid w:val="00995ECC"/>
    <w:rsid w:val="00996AE1"/>
    <w:rsid w:val="0099777B"/>
    <w:rsid w:val="0099788D"/>
    <w:rsid w:val="00997A8E"/>
    <w:rsid w:val="009A0534"/>
    <w:rsid w:val="009A23D4"/>
    <w:rsid w:val="009A29DE"/>
    <w:rsid w:val="009A2E8F"/>
    <w:rsid w:val="009A3171"/>
    <w:rsid w:val="009A327A"/>
    <w:rsid w:val="009A371A"/>
    <w:rsid w:val="009A3A33"/>
    <w:rsid w:val="009A3FC7"/>
    <w:rsid w:val="009A4B77"/>
    <w:rsid w:val="009A5990"/>
    <w:rsid w:val="009A5C8F"/>
    <w:rsid w:val="009A5FF2"/>
    <w:rsid w:val="009A6086"/>
    <w:rsid w:val="009A6C7F"/>
    <w:rsid w:val="009A7112"/>
    <w:rsid w:val="009A772B"/>
    <w:rsid w:val="009A778D"/>
    <w:rsid w:val="009B0966"/>
    <w:rsid w:val="009B12D3"/>
    <w:rsid w:val="009B12E3"/>
    <w:rsid w:val="009B1DD9"/>
    <w:rsid w:val="009B1E0B"/>
    <w:rsid w:val="009B1E5B"/>
    <w:rsid w:val="009B32D3"/>
    <w:rsid w:val="009B3656"/>
    <w:rsid w:val="009B3DAF"/>
    <w:rsid w:val="009B3F06"/>
    <w:rsid w:val="009B4574"/>
    <w:rsid w:val="009B4E9F"/>
    <w:rsid w:val="009B56EB"/>
    <w:rsid w:val="009B5D19"/>
    <w:rsid w:val="009B6332"/>
    <w:rsid w:val="009B6830"/>
    <w:rsid w:val="009B7327"/>
    <w:rsid w:val="009C0463"/>
    <w:rsid w:val="009C0991"/>
    <w:rsid w:val="009C0D25"/>
    <w:rsid w:val="009C0DD5"/>
    <w:rsid w:val="009C14A4"/>
    <w:rsid w:val="009C154F"/>
    <w:rsid w:val="009C16DF"/>
    <w:rsid w:val="009C2590"/>
    <w:rsid w:val="009C449C"/>
    <w:rsid w:val="009C464B"/>
    <w:rsid w:val="009C66E2"/>
    <w:rsid w:val="009C6D4E"/>
    <w:rsid w:val="009C7C73"/>
    <w:rsid w:val="009D0523"/>
    <w:rsid w:val="009D06B6"/>
    <w:rsid w:val="009D082D"/>
    <w:rsid w:val="009D1BFF"/>
    <w:rsid w:val="009D1FB2"/>
    <w:rsid w:val="009D32BE"/>
    <w:rsid w:val="009D3D71"/>
    <w:rsid w:val="009D5DD3"/>
    <w:rsid w:val="009D602B"/>
    <w:rsid w:val="009E0432"/>
    <w:rsid w:val="009E2159"/>
    <w:rsid w:val="009E29B1"/>
    <w:rsid w:val="009E4512"/>
    <w:rsid w:val="009E47A5"/>
    <w:rsid w:val="009E49CE"/>
    <w:rsid w:val="009E58DD"/>
    <w:rsid w:val="009E5A7C"/>
    <w:rsid w:val="009E6514"/>
    <w:rsid w:val="009E69F2"/>
    <w:rsid w:val="009E6C47"/>
    <w:rsid w:val="009E6CB1"/>
    <w:rsid w:val="009E7272"/>
    <w:rsid w:val="009E7BB4"/>
    <w:rsid w:val="009F20B1"/>
    <w:rsid w:val="009F2291"/>
    <w:rsid w:val="009F2D94"/>
    <w:rsid w:val="009F38A1"/>
    <w:rsid w:val="009F4CC9"/>
    <w:rsid w:val="009F4D10"/>
    <w:rsid w:val="009F4F27"/>
    <w:rsid w:val="009F53C7"/>
    <w:rsid w:val="009F5783"/>
    <w:rsid w:val="009F5805"/>
    <w:rsid w:val="009F5B12"/>
    <w:rsid w:val="009F731C"/>
    <w:rsid w:val="00A0024A"/>
    <w:rsid w:val="00A014C4"/>
    <w:rsid w:val="00A01517"/>
    <w:rsid w:val="00A017DE"/>
    <w:rsid w:val="00A03051"/>
    <w:rsid w:val="00A03292"/>
    <w:rsid w:val="00A03379"/>
    <w:rsid w:val="00A03B2C"/>
    <w:rsid w:val="00A03D46"/>
    <w:rsid w:val="00A05808"/>
    <w:rsid w:val="00A06AB4"/>
    <w:rsid w:val="00A06CDC"/>
    <w:rsid w:val="00A07444"/>
    <w:rsid w:val="00A07455"/>
    <w:rsid w:val="00A07796"/>
    <w:rsid w:val="00A07D26"/>
    <w:rsid w:val="00A07FFC"/>
    <w:rsid w:val="00A103B2"/>
    <w:rsid w:val="00A10432"/>
    <w:rsid w:val="00A10A21"/>
    <w:rsid w:val="00A11A10"/>
    <w:rsid w:val="00A12628"/>
    <w:rsid w:val="00A137C7"/>
    <w:rsid w:val="00A13B12"/>
    <w:rsid w:val="00A14860"/>
    <w:rsid w:val="00A15FC7"/>
    <w:rsid w:val="00A16195"/>
    <w:rsid w:val="00A17569"/>
    <w:rsid w:val="00A17BAE"/>
    <w:rsid w:val="00A17E1D"/>
    <w:rsid w:val="00A20774"/>
    <w:rsid w:val="00A209C7"/>
    <w:rsid w:val="00A20BE9"/>
    <w:rsid w:val="00A2199C"/>
    <w:rsid w:val="00A227AF"/>
    <w:rsid w:val="00A2389A"/>
    <w:rsid w:val="00A23BD2"/>
    <w:rsid w:val="00A24384"/>
    <w:rsid w:val="00A24AFF"/>
    <w:rsid w:val="00A24F40"/>
    <w:rsid w:val="00A252BD"/>
    <w:rsid w:val="00A25A74"/>
    <w:rsid w:val="00A25E6C"/>
    <w:rsid w:val="00A26156"/>
    <w:rsid w:val="00A27CF6"/>
    <w:rsid w:val="00A31222"/>
    <w:rsid w:val="00A31920"/>
    <w:rsid w:val="00A31CC6"/>
    <w:rsid w:val="00A32C68"/>
    <w:rsid w:val="00A336C5"/>
    <w:rsid w:val="00A3469C"/>
    <w:rsid w:val="00A34E84"/>
    <w:rsid w:val="00A35A02"/>
    <w:rsid w:val="00A36440"/>
    <w:rsid w:val="00A4062A"/>
    <w:rsid w:val="00A41050"/>
    <w:rsid w:val="00A4118A"/>
    <w:rsid w:val="00A41DC3"/>
    <w:rsid w:val="00A430C2"/>
    <w:rsid w:val="00A43919"/>
    <w:rsid w:val="00A43E4D"/>
    <w:rsid w:val="00A45DF3"/>
    <w:rsid w:val="00A4611B"/>
    <w:rsid w:val="00A4615F"/>
    <w:rsid w:val="00A46902"/>
    <w:rsid w:val="00A46B40"/>
    <w:rsid w:val="00A46BF4"/>
    <w:rsid w:val="00A472C7"/>
    <w:rsid w:val="00A4786F"/>
    <w:rsid w:val="00A50A30"/>
    <w:rsid w:val="00A50DFB"/>
    <w:rsid w:val="00A5152A"/>
    <w:rsid w:val="00A51DCA"/>
    <w:rsid w:val="00A522ED"/>
    <w:rsid w:val="00A52638"/>
    <w:rsid w:val="00A5287B"/>
    <w:rsid w:val="00A528DC"/>
    <w:rsid w:val="00A52FB2"/>
    <w:rsid w:val="00A52FF7"/>
    <w:rsid w:val="00A5375F"/>
    <w:rsid w:val="00A53B2A"/>
    <w:rsid w:val="00A53F01"/>
    <w:rsid w:val="00A54044"/>
    <w:rsid w:val="00A54715"/>
    <w:rsid w:val="00A55005"/>
    <w:rsid w:val="00A5520A"/>
    <w:rsid w:val="00A56552"/>
    <w:rsid w:val="00A566D6"/>
    <w:rsid w:val="00A56768"/>
    <w:rsid w:val="00A56884"/>
    <w:rsid w:val="00A56CE3"/>
    <w:rsid w:val="00A57315"/>
    <w:rsid w:val="00A57B4D"/>
    <w:rsid w:val="00A57D88"/>
    <w:rsid w:val="00A61072"/>
    <w:rsid w:val="00A618DD"/>
    <w:rsid w:val="00A61D1E"/>
    <w:rsid w:val="00A62CF6"/>
    <w:rsid w:val="00A62E98"/>
    <w:rsid w:val="00A6389A"/>
    <w:rsid w:val="00A645D0"/>
    <w:rsid w:val="00A64CBC"/>
    <w:rsid w:val="00A6539F"/>
    <w:rsid w:val="00A667E6"/>
    <w:rsid w:val="00A66801"/>
    <w:rsid w:val="00A6716E"/>
    <w:rsid w:val="00A67F04"/>
    <w:rsid w:val="00A710B0"/>
    <w:rsid w:val="00A7178A"/>
    <w:rsid w:val="00A71BE5"/>
    <w:rsid w:val="00A7312D"/>
    <w:rsid w:val="00A7348A"/>
    <w:rsid w:val="00A73554"/>
    <w:rsid w:val="00A73CAF"/>
    <w:rsid w:val="00A73EC3"/>
    <w:rsid w:val="00A744C2"/>
    <w:rsid w:val="00A749DE"/>
    <w:rsid w:val="00A74C6E"/>
    <w:rsid w:val="00A75B69"/>
    <w:rsid w:val="00A8077F"/>
    <w:rsid w:val="00A8079F"/>
    <w:rsid w:val="00A80D3E"/>
    <w:rsid w:val="00A80F5A"/>
    <w:rsid w:val="00A81188"/>
    <w:rsid w:val="00A8127F"/>
    <w:rsid w:val="00A81549"/>
    <w:rsid w:val="00A81ABC"/>
    <w:rsid w:val="00A8215B"/>
    <w:rsid w:val="00A83348"/>
    <w:rsid w:val="00A83AA1"/>
    <w:rsid w:val="00A840BF"/>
    <w:rsid w:val="00A8457A"/>
    <w:rsid w:val="00A85E9D"/>
    <w:rsid w:val="00A862D4"/>
    <w:rsid w:val="00A8651D"/>
    <w:rsid w:val="00A86A97"/>
    <w:rsid w:val="00A873BB"/>
    <w:rsid w:val="00A90A19"/>
    <w:rsid w:val="00A90A1A"/>
    <w:rsid w:val="00A90F51"/>
    <w:rsid w:val="00A91593"/>
    <w:rsid w:val="00A917A7"/>
    <w:rsid w:val="00A91C07"/>
    <w:rsid w:val="00A91E04"/>
    <w:rsid w:val="00A91E8E"/>
    <w:rsid w:val="00A920F3"/>
    <w:rsid w:val="00A921C0"/>
    <w:rsid w:val="00A936DE"/>
    <w:rsid w:val="00A93B98"/>
    <w:rsid w:val="00A9463E"/>
    <w:rsid w:val="00A95720"/>
    <w:rsid w:val="00A95D63"/>
    <w:rsid w:val="00A95F45"/>
    <w:rsid w:val="00A96379"/>
    <w:rsid w:val="00A97338"/>
    <w:rsid w:val="00A97918"/>
    <w:rsid w:val="00AA0E73"/>
    <w:rsid w:val="00AA1236"/>
    <w:rsid w:val="00AA1DDE"/>
    <w:rsid w:val="00AA369F"/>
    <w:rsid w:val="00AA4447"/>
    <w:rsid w:val="00AA4A8F"/>
    <w:rsid w:val="00AA6684"/>
    <w:rsid w:val="00AA6818"/>
    <w:rsid w:val="00AA6926"/>
    <w:rsid w:val="00AA6927"/>
    <w:rsid w:val="00AA6FAE"/>
    <w:rsid w:val="00AA7131"/>
    <w:rsid w:val="00AA73EF"/>
    <w:rsid w:val="00AA7DD8"/>
    <w:rsid w:val="00AB10C8"/>
    <w:rsid w:val="00AB113C"/>
    <w:rsid w:val="00AB14E0"/>
    <w:rsid w:val="00AB19DA"/>
    <w:rsid w:val="00AB3BBA"/>
    <w:rsid w:val="00AB3C8E"/>
    <w:rsid w:val="00AB4601"/>
    <w:rsid w:val="00AB515A"/>
    <w:rsid w:val="00AB5785"/>
    <w:rsid w:val="00AB5B30"/>
    <w:rsid w:val="00AB61F1"/>
    <w:rsid w:val="00AB6B4D"/>
    <w:rsid w:val="00AB78F9"/>
    <w:rsid w:val="00AC14B3"/>
    <w:rsid w:val="00AC181C"/>
    <w:rsid w:val="00AC197D"/>
    <w:rsid w:val="00AC1BE3"/>
    <w:rsid w:val="00AC2043"/>
    <w:rsid w:val="00AC34CF"/>
    <w:rsid w:val="00AC3858"/>
    <w:rsid w:val="00AC4670"/>
    <w:rsid w:val="00AC48B2"/>
    <w:rsid w:val="00AC4FB6"/>
    <w:rsid w:val="00AC52E6"/>
    <w:rsid w:val="00AC5511"/>
    <w:rsid w:val="00AC58AF"/>
    <w:rsid w:val="00AC59B8"/>
    <w:rsid w:val="00AC659F"/>
    <w:rsid w:val="00AC6961"/>
    <w:rsid w:val="00AC6D78"/>
    <w:rsid w:val="00AD00D6"/>
    <w:rsid w:val="00AD0A7A"/>
    <w:rsid w:val="00AD0F75"/>
    <w:rsid w:val="00AD124B"/>
    <w:rsid w:val="00AD25C7"/>
    <w:rsid w:val="00AD2BE9"/>
    <w:rsid w:val="00AD2EF2"/>
    <w:rsid w:val="00AD2F26"/>
    <w:rsid w:val="00AD34F0"/>
    <w:rsid w:val="00AD3AB5"/>
    <w:rsid w:val="00AD3C75"/>
    <w:rsid w:val="00AD4166"/>
    <w:rsid w:val="00AD51EB"/>
    <w:rsid w:val="00AD5BFB"/>
    <w:rsid w:val="00AD5C4D"/>
    <w:rsid w:val="00AD5F5F"/>
    <w:rsid w:val="00AD5FCB"/>
    <w:rsid w:val="00AD6224"/>
    <w:rsid w:val="00AD6846"/>
    <w:rsid w:val="00AD71E1"/>
    <w:rsid w:val="00AD7688"/>
    <w:rsid w:val="00AD77BF"/>
    <w:rsid w:val="00AD7C36"/>
    <w:rsid w:val="00AE0009"/>
    <w:rsid w:val="00AE0134"/>
    <w:rsid w:val="00AE0EC6"/>
    <w:rsid w:val="00AE100F"/>
    <w:rsid w:val="00AE15D2"/>
    <w:rsid w:val="00AE1B16"/>
    <w:rsid w:val="00AE25A4"/>
    <w:rsid w:val="00AE2968"/>
    <w:rsid w:val="00AE3563"/>
    <w:rsid w:val="00AE3EF7"/>
    <w:rsid w:val="00AE43AD"/>
    <w:rsid w:val="00AE48D0"/>
    <w:rsid w:val="00AE4949"/>
    <w:rsid w:val="00AE5F79"/>
    <w:rsid w:val="00AE6F1C"/>
    <w:rsid w:val="00AE7022"/>
    <w:rsid w:val="00AE745D"/>
    <w:rsid w:val="00AF0711"/>
    <w:rsid w:val="00AF0B02"/>
    <w:rsid w:val="00AF1D8D"/>
    <w:rsid w:val="00AF2380"/>
    <w:rsid w:val="00AF2522"/>
    <w:rsid w:val="00AF281B"/>
    <w:rsid w:val="00AF46E0"/>
    <w:rsid w:val="00AF4A10"/>
    <w:rsid w:val="00AF6368"/>
    <w:rsid w:val="00AF6A16"/>
    <w:rsid w:val="00AF70A8"/>
    <w:rsid w:val="00AF7B15"/>
    <w:rsid w:val="00B002BE"/>
    <w:rsid w:val="00B00547"/>
    <w:rsid w:val="00B023DF"/>
    <w:rsid w:val="00B02527"/>
    <w:rsid w:val="00B02D13"/>
    <w:rsid w:val="00B03307"/>
    <w:rsid w:val="00B03A24"/>
    <w:rsid w:val="00B03DD8"/>
    <w:rsid w:val="00B04AC3"/>
    <w:rsid w:val="00B066E5"/>
    <w:rsid w:val="00B06872"/>
    <w:rsid w:val="00B06AA1"/>
    <w:rsid w:val="00B07681"/>
    <w:rsid w:val="00B076A6"/>
    <w:rsid w:val="00B07B5B"/>
    <w:rsid w:val="00B07F82"/>
    <w:rsid w:val="00B10C1A"/>
    <w:rsid w:val="00B113BC"/>
    <w:rsid w:val="00B11AB7"/>
    <w:rsid w:val="00B11B7C"/>
    <w:rsid w:val="00B11D08"/>
    <w:rsid w:val="00B1225B"/>
    <w:rsid w:val="00B1238C"/>
    <w:rsid w:val="00B12640"/>
    <w:rsid w:val="00B12AA3"/>
    <w:rsid w:val="00B12BE0"/>
    <w:rsid w:val="00B12FAB"/>
    <w:rsid w:val="00B14063"/>
    <w:rsid w:val="00B14479"/>
    <w:rsid w:val="00B1523C"/>
    <w:rsid w:val="00B15318"/>
    <w:rsid w:val="00B15947"/>
    <w:rsid w:val="00B1594C"/>
    <w:rsid w:val="00B1713A"/>
    <w:rsid w:val="00B202C0"/>
    <w:rsid w:val="00B21313"/>
    <w:rsid w:val="00B21803"/>
    <w:rsid w:val="00B22610"/>
    <w:rsid w:val="00B22B3C"/>
    <w:rsid w:val="00B23531"/>
    <w:rsid w:val="00B240FC"/>
    <w:rsid w:val="00B24358"/>
    <w:rsid w:val="00B24CFD"/>
    <w:rsid w:val="00B24E66"/>
    <w:rsid w:val="00B253D9"/>
    <w:rsid w:val="00B253E1"/>
    <w:rsid w:val="00B25A4A"/>
    <w:rsid w:val="00B25B6D"/>
    <w:rsid w:val="00B26B95"/>
    <w:rsid w:val="00B27C32"/>
    <w:rsid w:val="00B3050E"/>
    <w:rsid w:val="00B309F3"/>
    <w:rsid w:val="00B30B08"/>
    <w:rsid w:val="00B30DBD"/>
    <w:rsid w:val="00B31730"/>
    <w:rsid w:val="00B31B16"/>
    <w:rsid w:val="00B32AA3"/>
    <w:rsid w:val="00B3475C"/>
    <w:rsid w:val="00B34AC2"/>
    <w:rsid w:val="00B34B3D"/>
    <w:rsid w:val="00B355BF"/>
    <w:rsid w:val="00B358A9"/>
    <w:rsid w:val="00B35E44"/>
    <w:rsid w:val="00B360D5"/>
    <w:rsid w:val="00B36540"/>
    <w:rsid w:val="00B3694C"/>
    <w:rsid w:val="00B36B6A"/>
    <w:rsid w:val="00B370E8"/>
    <w:rsid w:val="00B37702"/>
    <w:rsid w:val="00B37E6E"/>
    <w:rsid w:val="00B40494"/>
    <w:rsid w:val="00B41271"/>
    <w:rsid w:val="00B419ED"/>
    <w:rsid w:val="00B426BA"/>
    <w:rsid w:val="00B42E68"/>
    <w:rsid w:val="00B443EB"/>
    <w:rsid w:val="00B444AA"/>
    <w:rsid w:val="00B44ADA"/>
    <w:rsid w:val="00B44CC4"/>
    <w:rsid w:val="00B45EE1"/>
    <w:rsid w:val="00B45F64"/>
    <w:rsid w:val="00B463A2"/>
    <w:rsid w:val="00B463E3"/>
    <w:rsid w:val="00B46F47"/>
    <w:rsid w:val="00B46F57"/>
    <w:rsid w:val="00B50D54"/>
    <w:rsid w:val="00B51BBE"/>
    <w:rsid w:val="00B52222"/>
    <w:rsid w:val="00B52736"/>
    <w:rsid w:val="00B540FD"/>
    <w:rsid w:val="00B543D7"/>
    <w:rsid w:val="00B55232"/>
    <w:rsid w:val="00B56148"/>
    <w:rsid w:val="00B56C26"/>
    <w:rsid w:val="00B56E2C"/>
    <w:rsid w:val="00B56EC4"/>
    <w:rsid w:val="00B56F5D"/>
    <w:rsid w:val="00B57285"/>
    <w:rsid w:val="00B600B6"/>
    <w:rsid w:val="00B6056D"/>
    <w:rsid w:val="00B60EEE"/>
    <w:rsid w:val="00B60FAD"/>
    <w:rsid w:val="00B61119"/>
    <w:rsid w:val="00B633A1"/>
    <w:rsid w:val="00B634B0"/>
    <w:rsid w:val="00B64E93"/>
    <w:rsid w:val="00B64F9D"/>
    <w:rsid w:val="00B65C57"/>
    <w:rsid w:val="00B66401"/>
    <w:rsid w:val="00B66FCE"/>
    <w:rsid w:val="00B67250"/>
    <w:rsid w:val="00B707A4"/>
    <w:rsid w:val="00B71529"/>
    <w:rsid w:val="00B71748"/>
    <w:rsid w:val="00B71EAA"/>
    <w:rsid w:val="00B72324"/>
    <w:rsid w:val="00B73DED"/>
    <w:rsid w:val="00B74409"/>
    <w:rsid w:val="00B7443B"/>
    <w:rsid w:val="00B74D62"/>
    <w:rsid w:val="00B76231"/>
    <w:rsid w:val="00B7636B"/>
    <w:rsid w:val="00B7685C"/>
    <w:rsid w:val="00B76E03"/>
    <w:rsid w:val="00B7704C"/>
    <w:rsid w:val="00B772F1"/>
    <w:rsid w:val="00B7752F"/>
    <w:rsid w:val="00B77ADF"/>
    <w:rsid w:val="00B81082"/>
    <w:rsid w:val="00B81377"/>
    <w:rsid w:val="00B816F1"/>
    <w:rsid w:val="00B818E2"/>
    <w:rsid w:val="00B82797"/>
    <w:rsid w:val="00B82CEC"/>
    <w:rsid w:val="00B82F66"/>
    <w:rsid w:val="00B83907"/>
    <w:rsid w:val="00B83C14"/>
    <w:rsid w:val="00B84922"/>
    <w:rsid w:val="00B84DB0"/>
    <w:rsid w:val="00B8582E"/>
    <w:rsid w:val="00B85CBF"/>
    <w:rsid w:val="00B8618D"/>
    <w:rsid w:val="00B861F2"/>
    <w:rsid w:val="00B872D0"/>
    <w:rsid w:val="00B9048F"/>
    <w:rsid w:val="00B907F6"/>
    <w:rsid w:val="00B9189D"/>
    <w:rsid w:val="00B91CC8"/>
    <w:rsid w:val="00B91D19"/>
    <w:rsid w:val="00B920E6"/>
    <w:rsid w:val="00B92982"/>
    <w:rsid w:val="00B92B92"/>
    <w:rsid w:val="00B92F85"/>
    <w:rsid w:val="00B93757"/>
    <w:rsid w:val="00B94294"/>
    <w:rsid w:val="00B94344"/>
    <w:rsid w:val="00B94605"/>
    <w:rsid w:val="00B94CC1"/>
    <w:rsid w:val="00B94CF8"/>
    <w:rsid w:val="00B956B7"/>
    <w:rsid w:val="00B95AB0"/>
    <w:rsid w:val="00B978D8"/>
    <w:rsid w:val="00B97CCC"/>
    <w:rsid w:val="00B97F85"/>
    <w:rsid w:val="00BA00C4"/>
    <w:rsid w:val="00BA1903"/>
    <w:rsid w:val="00BA1CCA"/>
    <w:rsid w:val="00BA1D00"/>
    <w:rsid w:val="00BA3124"/>
    <w:rsid w:val="00BA36FA"/>
    <w:rsid w:val="00BA38D4"/>
    <w:rsid w:val="00BA3A36"/>
    <w:rsid w:val="00BA3D64"/>
    <w:rsid w:val="00BA4B56"/>
    <w:rsid w:val="00BA50F2"/>
    <w:rsid w:val="00BA595D"/>
    <w:rsid w:val="00BA5DAE"/>
    <w:rsid w:val="00BA6522"/>
    <w:rsid w:val="00BA6987"/>
    <w:rsid w:val="00BA69D2"/>
    <w:rsid w:val="00BA79F3"/>
    <w:rsid w:val="00BB03E5"/>
    <w:rsid w:val="00BB09D5"/>
    <w:rsid w:val="00BB0A2C"/>
    <w:rsid w:val="00BB0EAB"/>
    <w:rsid w:val="00BB1B1A"/>
    <w:rsid w:val="00BB1CAB"/>
    <w:rsid w:val="00BB1DD2"/>
    <w:rsid w:val="00BB228D"/>
    <w:rsid w:val="00BB2A7A"/>
    <w:rsid w:val="00BB31ED"/>
    <w:rsid w:val="00BB3F95"/>
    <w:rsid w:val="00BB48F5"/>
    <w:rsid w:val="00BB5301"/>
    <w:rsid w:val="00BB5727"/>
    <w:rsid w:val="00BB5B86"/>
    <w:rsid w:val="00BB5CE4"/>
    <w:rsid w:val="00BB6224"/>
    <w:rsid w:val="00BB6319"/>
    <w:rsid w:val="00BB6FF8"/>
    <w:rsid w:val="00BB7A43"/>
    <w:rsid w:val="00BB7E2B"/>
    <w:rsid w:val="00BC1510"/>
    <w:rsid w:val="00BC411D"/>
    <w:rsid w:val="00BC4246"/>
    <w:rsid w:val="00BC5400"/>
    <w:rsid w:val="00BC5D2D"/>
    <w:rsid w:val="00BC5FEE"/>
    <w:rsid w:val="00BC6490"/>
    <w:rsid w:val="00BC66F4"/>
    <w:rsid w:val="00BC6A9C"/>
    <w:rsid w:val="00BC6E25"/>
    <w:rsid w:val="00BD025C"/>
    <w:rsid w:val="00BD18B3"/>
    <w:rsid w:val="00BD1EFC"/>
    <w:rsid w:val="00BD1F1A"/>
    <w:rsid w:val="00BD29FB"/>
    <w:rsid w:val="00BD2FDB"/>
    <w:rsid w:val="00BD34E0"/>
    <w:rsid w:val="00BD3574"/>
    <w:rsid w:val="00BD35CB"/>
    <w:rsid w:val="00BD38B2"/>
    <w:rsid w:val="00BD3D87"/>
    <w:rsid w:val="00BD414D"/>
    <w:rsid w:val="00BD46FA"/>
    <w:rsid w:val="00BD5C5B"/>
    <w:rsid w:val="00BD63C6"/>
    <w:rsid w:val="00BD6A73"/>
    <w:rsid w:val="00BD7852"/>
    <w:rsid w:val="00BE0242"/>
    <w:rsid w:val="00BE080B"/>
    <w:rsid w:val="00BE0E21"/>
    <w:rsid w:val="00BE1221"/>
    <w:rsid w:val="00BE1763"/>
    <w:rsid w:val="00BE1C90"/>
    <w:rsid w:val="00BE2A75"/>
    <w:rsid w:val="00BE39B2"/>
    <w:rsid w:val="00BE3A7C"/>
    <w:rsid w:val="00BE4199"/>
    <w:rsid w:val="00BE4DC9"/>
    <w:rsid w:val="00BE566E"/>
    <w:rsid w:val="00BE5A8F"/>
    <w:rsid w:val="00BE5BDB"/>
    <w:rsid w:val="00BE5FB8"/>
    <w:rsid w:val="00BE603B"/>
    <w:rsid w:val="00BE6082"/>
    <w:rsid w:val="00BE7241"/>
    <w:rsid w:val="00BE74D6"/>
    <w:rsid w:val="00BE7579"/>
    <w:rsid w:val="00BE7776"/>
    <w:rsid w:val="00BE7ED4"/>
    <w:rsid w:val="00BF042B"/>
    <w:rsid w:val="00BF04C4"/>
    <w:rsid w:val="00BF2BC7"/>
    <w:rsid w:val="00BF2D64"/>
    <w:rsid w:val="00BF309F"/>
    <w:rsid w:val="00BF351C"/>
    <w:rsid w:val="00BF35BD"/>
    <w:rsid w:val="00BF4390"/>
    <w:rsid w:val="00BF47D2"/>
    <w:rsid w:val="00BF4FAA"/>
    <w:rsid w:val="00BF5C8E"/>
    <w:rsid w:val="00BF7BB7"/>
    <w:rsid w:val="00C006AE"/>
    <w:rsid w:val="00C016BE"/>
    <w:rsid w:val="00C018A7"/>
    <w:rsid w:val="00C0202B"/>
    <w:rsid w:val="00C0226B"/>
    <w:rsid w:val="00C033EB"/>
    <w:rsid w:val="00C03468"/>
    <w:rsid w:val="00C03626"/>
    <w:rsid w:val="00C04F21"/>
    <w:rsid w:val="00C05020"/>
    <w:rsid w:val="00C05414"/>
    <w:rsid w:val="00C05864"/>
    <w:rsid w:val="00C05BE0"/>
    <w:rsid w:val="00C06677"/>
    <w:rsid w:val="00C06A70"/>
    <w:rsid w:val="00C06BC9"/>
    <w:rsid w:val="00C06FE2"/>
    <w:rsid w:val="00C10F61"/>
    <w:rsid w:val="00C122B8"/>
    <w:rsid w:val="00C127AA"/>
    <w:rsid w:val="00C131A4"/>
    <w:rsid w:val="00C134F1"/>
    <w:rsid w:val="00C135A0"/>
    <w:rsid w:val="00C13F4E"/>
    <w:rsid w:val="00C13FAE"/>
    <w:rsid w:val="00C16158"/>
    <w:rsid w:val="00C170B8"/>
    <w:rsid w:val="00C20805"/>
    <w:rsid w:val="00C21B86"/>
    <w:rsid w:val="00C2275A"/>
    <w:rsid w:val="00C230BF"/>
    <w:rsid w:val="00C23343"/>
    <w:rsid w:val="00C23423"/>
    <w:rsid w:val="00C23D35"/>
    <w:rsid w:val="00C24919"/>
    <w:rsid w:val="00C257E8"/>
    <w:rsid w:val="00C26128"/>
    <w:rsid w:val="00C264E9"/>
    <w:rsid w:val="00C27DF4"/>
    <w:rsid w:val="00C27FF0"/>
    <w:rsid w:val="00C305D4"/>
    <w:rsid w:val="00C306CD"/>
    <w:rsid w:val="00C3145B"/>
    <w:rsid w:val="00C31704"/>
    <w:rsid w:val="00C31EB7"/>
    <w:rsid w:val="00C32C01"/>
    <w:rsid w:val="00C32CCF"/>
    <w:rsid w:val="00C3394F"/>
    <w:rsid w:val="00C33FDF"/>
    <w:rsid w:val="00C342B7"/>
    <w:rsid w:val="00C3475B"/>
    <w:rsid w:val="00C362AC"/>
    <w:rsid w:val="00C362BA"/>
    <w:rsid w:val="00C368C9"/>
    <w:rsid w:val="00C369F9"/>
    <w:rsid w:val="00C36D1E"/>
    <w:rsid w:val="00C378D2"/>
    <w:rsid w:val="00C404EB"/>
    <w:rsid w:val="00C405BB"/>
    <w:rsid w:val="00C40C7B"/>
    <w:rsid w:val="00C411F2"/>
    <w:rsid w:val="00C412B2"/>
    <w:rsid w:val="00C41E39"/>
    <w:rsid w:val="00C427E0"/>
    <w:rsid w:val="00C434BB"/>
    <w:rsid w:val="00C43C7D"/>
    <w:rsid w:val="00C43DA6"/>
    <w:rsid w:val="00C43DC4"/>
    <w:rsid w:val="00C43F02"/>
    <w:rsid w:val="00C442D4"/>
    <w:rsid w:val="00C44321"/>
    <w:rsid w:val="00C45156"/>
    <w:rsid w:val="00C45D8C"/>
    <w:rsid w:val="00C45E42"/>
    <w:rsid w:val="00C47299"/>
    <w:rsid w:val="00C47349"/>
    <w:rsid w:val="00C47BFA"/>
    <w:rsid w:val="00C501B5"/>
    <w:rsid w:val="00C51FF5"/>
    <w:rsid w:val="00C52B31"/>
    <w:rsid w:val="00C5305F"/>
    <w:rsid w:val="00C530CD"/>
    <w:rsid w:val="00C54B5B"/>
    <w:rsid w:val="00C55EF4"/>
    <w:rsid w:val="00C571E6"/>
    <w:rsid w:val="00C576A5"/>
    <w:rsid w:val="00C60B0D"/>
    <w:rsid w:val="00C61B51"/>
    <w:rsid w:val="00C61F89"/>
    <w:rsid w:val="00C62551"/>
    <w:rsid w:val="00C62DDF"/>
    <w:rsid w:val="00C63C0C"/>
    <w:rsid w:val="00C63D4A"/>
    <w:rsid w:val="00C63DEE"/>
    <w:rsid w:val="00C63ED6"/>
    <w:rsid w:val="00C64105"/>
    <w:rsid w:val="00C64230"/>
    <w:rsid w:val="00C644A6"/>
    <w:rsid w:val="00C64CDA"/>
    <w:rsid w:val="00C64CF4"/>
    <w:rsid w:val="00C653F0"/>
    <w:rsid w:val="00C66154"/>
    <w:rsid w:val="00C67CD3"/>
    <w:rsid w:val="00C67EF2"/>
    <w:rsid w:val="00C700A2"/>
    <w:rsid w:val="00C70F23"/>
    <w:rsid w:val="00C7103B"/>
    <w:rsid w:val="00C71716"/>
    <w:rsid w:val="00C72608"/>
    <w:rsid w:val="00C72F40"/>
    <w:rsid w:val="00C7353D"/>
    <w:rsid w:val="00C73E36"/>
    <w:rsid w:val="00C73F5F"/>
    <w:rsid w:val="00C753D3"/>
    <w:rsid w:val="00C76530"/>
    <w:rsid w:val="00C7679C"/>
    <w:rsid w:val="00C76914"/>
    <w:rsid w:val="00C76A76"/>
    <w:rsid w:val="00C76C7C"/>
    <w:rsid w:val="00C76E4B"/>
    <w:rsid w:val="00C76FCF"/>
    <w:rsid w:val="00C77668"/>
    <w:rsid w:val="00C80187"/>
    <w:rsid w:val="00C809A9"/>
    <w:rsid w:val="00C80B7A"/>
    <w:rsid w:val="00C80C04"/>
    <w:rsid w:val="00C83510"/>
    <w:rsid w:val="00C83A4A"/>
    <w:rsid w:val="00C83A59"/>
    <w:rsid w:val="00C83C6E"/>
    <w:rsid w:val="00C8467F"/>
    <w:rsid w:val="00C8505A"/>
    <w:rsid w:val="00C86281"/>
    <w:rsid w:val="00C86DEE"/>
    <w:rsid w:val="00C86F9F"/>
    <w:rsid w:val="00C8769C"/>
    <w:rsid w:val="00C87C81"/>
    <w:rsid w:val="00C90627"/>
    <w:rsid w:val="00C90A39"/>
    <w:rsid w:val="00C90D96"/>
    <w:rsid w:val="00C9218F"/>
    <w:rsid w:val="00C9362D"/>
    <w:rsid w:val="00C93715"/>
    <w:rsid w:val="00C941E7"/>
    <w:rsid w:val="00C9481D"/>
    <w:rsid w:val="00C94958"/>
    <w:rsid w:val="00C94C21"/>
    <w:rsid w:val="00C951A3"/>
    <w:rsid w:val="00C962FF"/>
    <w:rsid w:val="00C96992"/>
    <w:rsid w:val="00C97581"/>
    <w:rsid w:val="00C975D2"/>
    <w:rsid w:val="00C97CE3"/>
    <w:rsid w:val="00CA0081"/>
    <w:rsid w:val="00CA0E48"/>
    <w:rsid w:val="00CA0FED"/>
    <w:rsid w:val="00CA13A2"/>
    <w:rsid w:val="00CA1C7D"/>
    <w:rsid w:val="00CA1FD3"/>
    <w:rsid w:val="00CA2997"/>
    <w:rsid w:val="00CA3948"/>
    <w:rsid w:val="00CA3AF0"/>
    <w:rsid w:val="00CA3AFC"/>
    <w:rsid w:val="00CA3BF2"/>
    <w:rsid w:val="00CA4717"/>
    <w:rsid w:val="00CA478C"/>
    <w:rsid w:val="00CA51C2"/>
    <w:rsid w:val="00CA5DA5"/>
    <w:rsid w:val="00CA5E36"/>
    <w:rsid w:val="00CA6A29"/>
    <w:rsid w:val="00CA6DBF"/>
    <w:rsid w:val="00CB09EB"/>
    <w:rsid w:val="00CB0EA4"/>
    <w:rsid w:val="00CB24C0"/>
    <w:rsid w:val="00CB2CAB"/>
    <w:rsid w:val="00CB41F8"/>
    <w:rsid w:val="00CB4F6D"/>
    <w:rsid w:val="00CB54C6"/>
    <w:rsid w:val="00CB57C7"/>
    <w:rsid w:val="00CB58B4"/>
    <w:rsid w:val="00CB6699"/>
    <w:rsid w:val="00CB68E7"/>
    <w:rsid w:val="00CB7360"/>
    <w:rsid w:val="00CB7B68"/>
    <w:rsid w:val="00CC03C7"/>
    <w:rsid w:val="00CC171C"/>
    <w:rsid w:val="00CC1ED3"/>
    <w:rsid w:val="00CC291A"/>
    <w:rsid w:val="00CC3166"/>
    <w:rsid w:val="00CC3351"/>
    <w:rsid w:val="00CC3A8A"/>
    <w:rsid w:val="00CC4E53"/>
    <w:rsid w:val="00CC5608"/>
    <w:rsid w:val="00CC563B"/>
    <w:rsid w:val="00CC6A12"/>
    <w:rsid w:val="00CC7028"/>
    <w:rsid w:val="00CC7823"/>
    <w:rsid w:val="00CC7CAA"/>
    <w:rsid w:val="00CD01A9"/>
    <w:rsid w:val="00CD191C"/>
    <w:rsid w:val="00CD2598"/>
    <w:rsid w:val="00CD27FA"/>
    <w:rsid w:val="00CD29B3"/>
    <w:rsid w:val="00CD2F32"/>
    <w:rsid w:val="00CD3295"/>
    <w:rsid w:val="00CD33B5"/>
    <w:rsid w:val="00CD3BF3"/>
    <w:rsid w:val="00CD3E0C"/>
    <w:rsid w:val="00CD439B"/>
    <w:rsid w:val="00CD4805"/>
    <w:rsid w:val="00CD4F84"/>
    <w:rsid w:val="00CD5F0E"/>
    <w:rsid w:val="00CD6B70"/>
    <w:rsid w:val="00CD7FBC"/>
    <w:rsid w:val="00CE006D"/>
    <w:rsid w:val="00CE018B"/>
    <w:rsid w:val="00CE1B7C"/>
    <w:rsid w:val="00CE1C6F"/>
    <w:rsid w:val="00CE24BA"/>
    <w:rsid w:val="00CE3BC8"/>
    <w:rsid w:val="00CE3E48"/>
    <w:rsid w:val="00CE4068"/>
    <w:rsid w:val="00CE4A24"/>
    <w:rsid w:val="00CE4CB1"/>
    <w:rsid w:val="00CE4F80"/>
    <w:rsid w:val="00CE4FE0"/>
    <w:rsid w:val="00CE590C"/>
    <w:rsid w:val="00CE5A92"/>
    <w:rsid w:val="00CE5D8E"/>
    <w:rsid w:val="00CE6292"/>
    <w:rsid w:val="00CE6CB0"/>
    <w:rsid w:val="00CE727E"/>
    <w:rsid w:val="00CE7DFC"/>
    <w:rsid w:val="00CF033E"/>
    <w:rsid w:val="00CF0C53"/>
    <w:rsid w:val="00CF1BD2"/>
    <w:rsid w:val="00CF21E5"/>
    <w:rsid w:val="00CF401F"/>
    <w:rsid w:val="00CF403D"/>
    <w:rsid w:val="00CF41FC"/>
    <w:rsid w:val="00CF420A"/>
    <w:rsid w:val="00CF44B1"/>
    <w:rsid w:val="00CF48FB"/>
    <w:rsid w:val="00CF4B0C"/>
    <w:rsid w:val="00CF4E0F"/>
    <w:rsid w:val="00CF51F1"/>
    <w:rsid w:val="00CF53D8"/>
    <w:rsid w:val="00CF609D"/>
    <w:rsid w:val="00CF62AF"/>
    <w:rsid w:val="00CF6733"/>
    <w:rsid w:val="00CF6CAA"/>
    <w:rsid w:val="00CF7D2A"/>
    <w:rsid w:val="00CF7DA5"/>
    <w:rsid w:val="00D00752"/>
    <w:rsid w:val="00D0081D"/>
    <w:rsid w:val="00D01683"/>
    <w:rsid w:val="00D0235F"/>
    <w:rsid w:val="00D034DF"/>
    <w:rsid w:val="00D03E0C"/>
    <w:rsid w:val="00D0424E"/>
    <w:rsid w:val="00D04316"/>
    <w:rsid w:val="00D04375"/>
    <w:rsid w:val="00D04C17"/>
    <w:rsid w:val="00D04C2E"/>
    <w:rsid w:val="00D05047"/>
    <w:rsid w:val="00D0516D"/>
    <w:rsid w:val="00D057C6"/>
    <w:rsid w:val="00D0601E"/>
    <w:rsid w:val="00D066B7"/>
    <w:rsid w:val="00D067C1"/>
    <w:rsid w:val="00D07F84"/>
    <w:rsid w:val="00D10A66"/>
    <w:rsid w:val="00D1236B"/>
    <w:rsid w:val="00D12586"/>
    <w:rsid w:val="00D127A4"/>
    <w:rsid w:val="00D12CAB"/>
    <w:rsid w:val="00D1476F"/>
    <w:rsid w:val="00D14CBF"/>
    <w:rsid w:val="00D14FB7"/>
    <w:rsid w:val="00D14FB8"/>
    <w:rsid w:val="00D15584"/>
    <w:rsid w:val="00D15A0A"/>
    <w:rsid w:val="00D15CB9"/>
    <w:rsid w:val="00D162D1"/>
    <w:rsid w:val="00D16B21"/>
    <w:rsid w:val="00D17135"/>
    <w:rsid w:val="00D17B4F"/>
    <w:rsid w:val="00D205AA"/>
    <w:rsid w:val="00D20DD3"/>
    <w:rsid w:val="00D215A6"/>
    <w:rsid w:val="00D22DFE"/>
    <w:rsid w:val="00D23CCB"/>
    <w:rsid w:val="00D23F3E"/>
    <w:rsid w:val="00D24117"/>
    <w:rsid w:val="00D247F5"/>
    <w:rsid w:val="00D24AA3"/>
    <w:rsid w:val="00D27AA3"/>
    <w:rsid w:val="00D3252F"/>
    <w:rsid w:val="00D32760"/>
    <w:rsid w:val="00D32FF1"/>
    <w:rsid w:val="00D33E7D"/>
    <w:rsid w:val="00D346A5"/>
    <w:rsid w:val="00D348F1"/>
    <w:rsid w:val="00D349C1"/>
    <w:rsid w:val="00D34A7B"/>
    <w:rsid w:val="00D35D39"/>
    <w:rsid w:val="00D36593"/>
    <w:rsid w:val="00D3693B"/>
    <w:rsid w:val="00D37A4E"/>
    <w:rsid w:val="00D37C44"/>
    <w:rsid w:val="00D40C38"/>
    <w:rsid w:val="00D40D0A"/>
    <w:rsid w:val="00D40E5C"/>
    <w:rsid w:val="00D42BB6"/>
    <w:rsid w:val="00D430DA"/>
    <w:rsid w:val="00D4337C"/>
    <w:rsid w:val="00D4444F"/>
    <w:rsid w:val="00D446D6"/>
    <w:rsid w:val="00D44DE2"/>
    <w:rsid w:val="00D44EA4"/>
    <w:rsid w:val="00D4791A"/>
    <w:rsid w:val="00D47E9D"/>
    <w:rsid w:val="00D47EDB"/>
    <w:rsid w:val="00D5003A"/>
    <w:rsid w:val="00D508DD"/>
    <w:rsid w:val="00D50D0F"/>
    <w:rsid w:val="00D516D5"/>
    <w:rsid w:val="00D520E8"/>
    <w:rsid w:val="00D5321E"/>
    <w:rsid w:val="00D54748"/>
    <w:rsid w:val="00D54A52"/>
    <w:rsid w:val="00D54A73"/>
    <w:rsid w:val="00D551F5"/>
    <w:rsid w:val="00D55AE2"/>
    <w:rsid w:val="00D5629E"/>
    <w:rsid w:val="00D563CB"/>
    <w:rsid w:val="00D57670"/>
    <w:rsid w:val="00D60962"/>
    <w:rsid w:val="00D61DF6"/>
    <w:rsid w:val="00D62328"/>
    <w:rsid w:val="00D6419D"/>
    <w:rsid w:val="00D64296"/>
    <w:rsid w:val="00D6560B"/>
    <w:rsid w:val="00D663AC"/>
    <w:rsid w:val="00D673BD"/>
    <w:rsid w:val="00D677F6"/>
    <w:rsid w:val="00D67B15"/>
    <w:rsid w:val="00D70588"/>
    <w:rsid w:val="00D708CA"/>
    <w:rsid w:val="00D7147B"/>
    <w:rsid w:val="00D71A04"/>
    <w:rsid w:val="00D726F6"/>
    <w:rsid w:val="00D727FC"/>
    <w:rsid w:val="00D735C4"/>
    <w:rsid w:val="00D73946"/>
    <w:rsid w:val="00D746BE"/>
    <w:rsid w:val="00D74CF9"/>
    <w:rsid w:val="00D75F29"/>
    <w:rsid w:val="00D7607A"/>
    <w:rsid w:val="00D760C2"/>
    <w:rsid w:val="00D76CA9"/>
    <w:rsid w:val="00D778D8"/>
    <w:rsid w:val="00D8364C"/>
    <w:rsid w:val="00D837EC"/>
    <w:rsid w:val="00D838F5"/>
    <w:rsid w:val="00D83A31"/>
    <w:rsid w:val="00D83DD0"/>
    <w:rsid w:val="00D84EC7"/>
    <w:rsid w:val="00D8552A"/>
    <w:rsid w:val="00D85644"/>
    <w:rsid w:val="00D85E78"/>
    <w:rsid w:val="00D860B1"/>
    <w:rsid w:val="00D86B7D"/>
    <w:rsid w:val="00D873E6"/>
    <w:rsid w:val="00D9065A"/>
    <w:rsid w:val="00D90757"/>
    <w:rsid w:val="00D908D5"/>
    <w:rsid w:val="00D90B5F"/>
    <w:rsid w:val="00D90BB9"/>
    <w:rsid w:val="00D9120C"/>
    <w:rsid w:val="00D92266"/>
    <w:rsid w:val="00D92FEF"/>
    <w:rsid w:val="00D94833"/>
    <w:rsid w:val="00D94B39"/>
    <w:rsid w:val="00D954D7"/>
    <w:rsid w:val="00D959B9"/>
    <w:rsid w:val="00D95A28"/>
    <w:rsid w:val="00D95B6E"/>
    <w:rsid w:val="00D95D52"/>
    <w:rsid w:val="00D960C1"/>
    <w:rsid w:val="00D962C2"/>
    <w:rsid w:val="00D969B6"/>
    <w:rsid w:val="00D96A7F"/>
    <w:rsid w:val="00D96F09"/>
    <w:rsid w:val="00D9750E"/>
    <w:rsid w:val="00DA01F5"/>
    <w:rsid w:val="00DA097C"/>
    <w:rsid w:val="00DA28DE"/>
    <w:rsid w:val="00DA2B12"/>
    <w:rsid w:val="00DA2CC4"/>
    <w:rsid w:val="00DA335B"/>
    <w:rsid w:val="00DA35C2"/>
    <w:rsid w:val="00DA3B6C"/>
    <w:rsid w:val="00DA3F91"/>
    <w:rsid w:val="00DA4B6F"/>
    <w:rsid w:val="00DA4D9D"/>
    <w:rsid w:val="00DA52CA"/>
    <w:rsid w:val="00DA565E"/>
    <w:rsid w:val="00DA581D"/>
    <w:rsid w:val="00DA6046"/>
    <w:rsid w:val="00DA60C1"/>
    <w:rsid w:val="00DA6407"/>
    <w:rsid w:val="00DA6BE8"/>
    <w:rsid w:val="00DA718D"/>
    <w:rsid w:val="00DA7916"/>
    <w:rsid w:val="00DA7CFB"/>
    <w:rsid w:val="00DB0158"/>
    <w:rsid w:val="00DB0E32"/>
    <w:rsid w:val="00DB15EE"/>
    <w:rsid w:val="00DB1705"/>
    <w:rsid w:val="00DB1AD5"/>
    <w:rsid w:val="00DB201A"/>
    <w:rsid w:val="00DB32F1"/>
    <w:rsid w:val="00DB3E6F"/>
    <w:rsid w:val="00DB3F60"/>
    <w:rsid w:val="00DB4D31"/>
    <w:rsid w:val="00DB4E1C"/>
    <w:rsid w:val="00DB4E9A"/>
    <w:rsid w:val="00DB4F4F"/>
    <w:rsid w:val="00DB528D"/>
    <w:rsid w:val="00DB5593"/>
    <w:rsid w:val="00DB5863"/>
    <w:rsid w:val="00DB7516"/>
    <w:rsid w:val="00DC1A3D"/>
    <w:rsid w:val="00DC1D83"/>
    <w:rsid w:val="00DC2785"/>
    <w:rsid w:val="00DC31B9"/>
    <w:rsid w:val="00DC31CB"/>
    <w:rsid w:val="00DC4287"/>
    <w:rsid w:val="00DC432A"/>
    <w:rsid w:val="00DC5988"/>
    <w:rsid w:val="00DC6135"/>
    <w:rsid w:val="00DC700C"/>
    <w:rsid w:val="00DC7150"/>
    <w:rsid w:val="00DD1112"/>
    <w:rsid w:val="00DD18A6"/>
    <w:rsid w:val="00DD19A3"/>
    <w:rsid w:val="00DD24A5"/>
    <w:rsid w:val="00DD3584"/>
    <w:rsid w:val="00DD3858"/>
    <w:rsid w:val="00DD45D1"/>
    <w:rsid w:val="00DD4CDF"/>
    <w:rsid w:val="00DD536D"/>
    <w:rsid w:val="00DD5CCC"/>
    <w:rsid w:val="00DD5FFE"/>
    <w:rsid w:val="00DD68CC"/>
    <w:rsid w:val="00DD73E3"/>
    <w:rsid w:val="00DD7535"/>
    <w:rsid w:val="00DD756F"/>
    <w:rsid w:val="00DD767F"/>
    <w:rsid w:val="00DD79D6"/>
    <w:rsid w:val="00DD7AAB"/>
    <w:rsid w:val="00DD7EE0"/>
    <w:rsid w:val="00DD7EE8"/>
    <w:rsid w:val="00DE0368"/>
    <w:rsid w:val="00DE09CB"/>
    <w:rsid w:val="00DE11AA"/>
    <w:rsid w:val="00DE238D"/>
    <w:rsid w:val="00DE3200"/>
    <w:rsid w:val="00DE3769"/>
    <w:rsid w:val="00DE38B2"/>
    <w:rsid w:val="00DE3B65"/>
    <w:rsid w:val="00DE3C8F"/>
    <w:rsid w:val="00DE5296"/>
    <w:rsid w:val="00DE688A"/>
    <w:rsid w:val="00DE6AEA"/>
    <w:rsid w:val="00DE7356"/>
    <w:rsid w:val="00DF096D"/>
    <w:rsid w:val="00DF15F4"/>
    <w:rsid w:val="00DF237F"/>
    <w:rsid w:val="00DF2BEA"/>
    <w:rsid w:val="00DF33F2"/>
    <w:rsid w:val="00DF3706"/>
    <w:rsid w:val="00DF3755"/>
    <w:rsid w:val="00DF57F3"/>
    <w:rsid w:val="00DF78B3"/>
    <w:rsid w:val="00E00256"/>
    <w:rsid w:val="00E00C1A"/>
    <w:rsid w:val="00E0145F"/>
    <w:rsid w:val="00E015C3"/>
    <w:rsid w:val="00E019E1"/>
    <w:rsid w:val="00E02C82"/>
    <w:rsid w:val="00E04590"/>
    <w:rsid w:val="00E045C0"/>
    <w:rsid w:val="00E05293"/>
    <w:rsid w:val="00E067B7"/>
    <w:rsid w:val="00E06A06"/>
    <w:rsid w:val="00E075C7"/>
    <w:rsid w:val="00E11DE4"/>
    <w:rsid w:val="00E120A8"/>
    <w:rsid w:val="00E1223E"/>
    <w:rsid w:val="00E12860"/>
    <w:rsid w:val="00E138D3"/>
    <w:rsid w:val="00E14518"/>
    <w:rsid w:val="00E14CBA"/>
    <w:rsid w:val="00E151C7"/>
    <w:rsid w:val="00E155DF"/>
    <w:rsid w:val="00E15DCF"/>
    <w:rsid w:val="00E16555"/>
    <w:rsid w:val="00E16E21"/>
    <w:rsid w:val="00E16F13"/>
    <w:rsid w:val="00E178A1"/>
    <w:rsid w:val="00E20147"/>
    <w:rsid w:val="00E20AF1"/>
    <w:rsid w:val="00E22164"/>
    <w:rsid w:val="00E224A5"/>
    <w:rsid w:val="00E2271E"/>
    <w:rsid w:val="00E23058"/>
    <w:rsid w:val="00E23183"/>
    <w:rsid w:val="00E2367D"/>
    <w:rsid w:val="00E236B0"/>
    <w:rsid w:val="00E241CB"/>
    <w:rsid w:val="00E2459A"/>
    <w:rsid w:val="00E246ED"/>
    <w:rsid w:val="00E2483D"/>
    <w:rsid w:val="00E248A0"/>
    <w:rsid w:val="00E25104"/>
    <w:rsid w:val="00E25615"/>
    <w:rsid w:val="00E256F8"/>
    <w:rsid w:val="00E26064"/>
    <w:rsid w:val="00E26EF5"/>
    <w:rsid w:val="00E305D4"/>
    <w:rsid w:val="00E30AA2"/>
    <w:rsid w:val="00E30C27"/>
    <w:rsid w:val="00E32275"/>
    <w:rsid w:val="00E328C6"/>
    <w:rsid w:val="00E32CB8"/>
    <w:rsid w:val="00E3399E"/>
    <w:rsid w:val="00E351D8"/>
    <w:rsid w:val="00E3580A"/>
    <w:rsid w:val="00E35A6C"/>
    <w:rsid w:val="00E35C4B"/>
    <w:rsid w:val="00E35E25"/>
    <w:rsid w:val="00E40644"/>
    <w:rsid w:val="00E409A4"/>
    <w:rsid w:val="00E41570"/>
    <w:rsid w:val="00E41819"/>
    <w:rsid w:val="00E41F65"/>
    <w:rsid w:val="00E43598"/>
    <w:rsid w:val="00E43AA5"/>
    <w:rsid w:val="00E4460A"/>
    <w:rsid w:val="00E455FE"/>
    <w:rsid w:val="00E46882"/>
    <w:rsid w:val="00E5048E"/>
    <w:rsid w:val="00E50A11"/>
    <w:rsid w:val="00E50BC5"/>
    <w:rsid w:val="00E50C60"/>
    <w:rsid w:val="00E511A4"/>
    <w:rsid w:val="00E52251"/>
    <w:rsid w:val="00E523B5"/>
    <w:rsid w:val="00E5253C"/>
    <w:rsid w:val="00E53A72"/>
    <w:rsid w:val="00E54129"/>
    <w:rsid w:val="00E54A20"/>
    <w:rsid w:val="00E54FA8"/>
    <w:rsid w:val="00E56AA7"/>
    <w:rsid w:val="00E574FF"/>
    <w:rsid w:val="00E57C75"/>
    <w:rsid w:val="00E6126A"/>
    <w:rsid w:val="00E61413"/>
    <w:rsid w:val="00E61D90"/>
    <w:rsid w:val="00E620CE"/>
    <w:rsid w:val="00E62457"/>
    <w:rsid w:val="00E6314B"/>
    <w:rsid w:val="00E63B86"/>
    <w:rsid w:val="00E63C6A"/>
    <w:rsid w:val="00E63F39"/>
    <w:rsid w:val="00E64800"/>
    <w:rsid w:val="00E64B3B"/>
    <w:rsid w:val="00E64F6A"/>
    <w:rsid w:val="00E655C9"/>
    <w:rsid w:val="00E666FB"/>
    <w:rsid w:val="00E66BBA"/>
    <w:rsid w:val="00E66C40"/>
    <w:rsid w:val="00E675DF"/>
    <w:rsid w:val="00E678D2"/>
    <w:rsid w:val="00E67975"/>
    <w:rsid w:val="00E67B58"/>
    <w:rsid w:val="00E70688"/>
    <w:rsid w:val="00E70A62"/>
    <w:rsid w:val="00E70D51"/>
    <w:rsid w:val="00E70F1B"/>
    <w:rsid w:val="00E719DC"/>
    <w:rsid w:val="00E72592"/>
    <w:rsid w:val="00E73402"/>
    <w:rsid w:val="00E736F2"/>
    <w:rsid w:val="00E73984"/>
    <w:rsid w:val="00E745EE"/>
    <w:rsid w:val="00E75832"/>
    <w:rsid w:val="00E75F2E"/>
    <w:rsid w:val="00E76897"/>
    <w:rsid w:val="00E76C33"/>
    <w:rsid w:val="00E76F15"/>
    <w:rsid w:val="00E81E40"/>
    <w:rsid w:val="00E82E9F"/>
    <w:rsid w:val="00E83122"/>
    <w:rsid w:val="00E833EC"/>
    <w:rsid w:val="00E83806"/>
    <w:rsid w:val="00E83CA8"/>
    <w:rsid w:val="00E83F65"/>
    <w:rsid w:val="00E84BBD"/>
    <w:rsid w:val="00E86A7F"/>
    <w:rsid w:val="00E86BBD"/>
    <w:rsid w:val="00E87F2D"/>
    <w:rsid w:val="00E87FA7"/>
    <w:rsid w:val="00E907E5"/>
    <w:rsid w:val="00E912B8"/>
    <w:rsid w:val="00E91778"/>
    <w:rsid w:val="00E92527"/>
    <w:rsid w:val="00E925A4"/>
    <w:rsid w:val="00E92CB1"/>
    <w:rsid w:val="00E93052"/>
    <w:rsid w:val="00E932B6"/>
    <w:rsid w:val="00E93AA0"/>
    <w:rsid w:val="00E94BEB"/>
    <w:rsid w:val="00E9504C"/>
    <w:rsid w:val="00E9520C"/>
    <w:rsid w:val="00E95A4D"/>
    <w:rsid w:val="00E961C5"/>
    <w:rsid w:val="00E96BDA"/>
    <w:rsid w:val="00E9764A"/>
    <w:rsid w:val="00E97A1D"/>
    <w:rsid w:val="00E97E74"/>
    <w:rsid w:val="00EA02ED"/>
    <w:rsid w:val="00EA0455"/>
    <w:rsid w:val="00EA084D"/>
    <w:rsid w:val="00EA13F6"/>
    <w:rsid w:val="00EA1C1B"/>
    <w:rsid w:val="00EA238C"/>
    <w:rsid w:val="00EA23B0"/>
    <w:rsid w:val="00EA24A0"/>
    <w:rsid w:val="00EA2AFE"/>
    <w:rsid w:val="00EA2D69"/>
    <w:rsid w:val="00EA4243"/>
    <w:rsid w:val="00EA45C7"/>
    <w:rsid w:val="00EA6262"/>
    <w:rsid w:val="00EA6A60"/>
    <w:rsid w:val="00EA7583"/>
    <w:rsid w:val="00EB0779"/>
    <w:rsid w:val="00EB095A"/>
    <w:rsid w:val="00EB0ABD"/>
    <w:rsid w:val="00EB0F0C"/>
    <w:rsid w:val="00EB128A"/>
    <w:rsid w:val="00EB1ADB"/>
    <w:rsid w:val="00EB1FA5"/>
    <w:rsid w:val="00EB2747"/>
    <w:rsid w:val="00EB31C2"/>
    <w:rsid w:val="00EB34DD"/>
    <w:rsid w:val="00EB3E52"/>
    <w:rsid w:val="00EB3FE8"/>
    <w:rsid w:val="00EB40DE"/>
    <w:rsid w:val="00EB43B6"/>
    <w:rsid w:val="00EB4C46"/>
    <w:rsid w:val="00EB6291"/>
    <w:rsid w:val="00EB66DF"/>
    <w:rsid w:val="00EB68F8"/>
    <w:rsid w:val="00EB7E9E"/>
    <w:rsid w:val="00EB7EBE"/>
    <w:rsid w:val="00EC00C2"/>
    <w:rsid w:val="00EC07B1"/>
    <w:rsid w:val="00EC123A"/>
    <w:rsid w:val="00EC14BB"/>
    <w:rsid w:val="00EC15A8"/>
    <w:rsid w:val="00EC1BD7"/>
    <w:rsid w:val="00EC1C8F"/>
    <w:rsid w:val="00EC318E"/>
    <w:rsid w:val="00EC34A9"/>
    <w:rsid w:val="00EC3FFF"/>
    <w:rsid w:val="00EC57A7"/>
    <w:rsid w:val="00EC5BB0"/>
    <w:rsid w:val="00EC5EBA"/>
    <w:rsid w:val="00EC63E9"/>
    <w:rsid w:val="00EC6BAC"/>
    <w:rsid w:val="00ED02A4"/>
    <w:rsid w:val="00ED0DD3"/>
    <w:rsid w:val="00ED0EF2"/>
    <w:rsid w:val="00ED1F95"/>
    <w:rsid w:val="00ED1FB5"/>
    <w:rsid w:val="00ED248B"/>
    <w:rsid w:val="00ED303B"/>
    <w:rsid w:val="00ED38BE"/>
    <w:rsid w:val="00ED3CCA"/>
    <w:rsid w:val="00ED57F0"/>
    <w:rsid w:val="00ED6515"/>
    <w:rsid w:val="00ED6A49"/>
    <w:rsid w:val="00ED707E"/>
    <w:rsid w:val="00ED71FD"/>
    <w:rsid w:val="00ED7F3C"/>
    <w:rsid w:val="00EE07BE"/>
    <w:rsid w:val="00EE0DFA"/>
    <w:rsid w:val="00EE15F4"/>
    <w:rsid w:val="00EE265D"/>
    <w:rsid w:val="00EE2C51"/>
    <w:rsid w:val="00EE3F19"/>
    <w:rsid w:val="00EE4AAA"/>
    <w:rsid w:val="00EE5522"/>
    <w:rsid w:val="00EE57E8"/>
    <w:rsid w:val="00EE6239"/>
    <w:rsid w:val="00EE635D"/>
    <w:rsid w:val="00EE6646"/>
    <w:rsid w:val="00EE6B35"/>
    <w:rsid w:val="00EE6EA3"/>
    <w:rsid w:val="00EE7D7B"/>
    <w:rsid w:val="00EE7EB9"/>
    <w:rsid w:val="00EE7EE8"/>
    <w:rsid w:val="00EF093E"/>
    <w:rsid w:val="00EF28CC"/>
    <w:rsid w:val="00EF2A1C"/>
    <w:rsid w:val="00EF3340"/>
    <w:rsid w:val="00EF39FF"/>
    <w:rsid w:val="00EF3C77"/>
    <w:rsid w:val="00EF4851"/>
    <w:rsid w:val="00EF504B"/>
    <w:rsid w:val="00EF5429"/>
    <w:rsid w:val="00EF5528"/>
    <w:rsid w:val="00EF5AD3"/>
    <w:rsid w:val="00EF6021"/>
    <w:rsid w:val="00EF6552"/>
    <w:rsid w:val="00EF65B2"/>
    <w:rsid w:val="00EF6DF2"/>
    <w:rsid w:val="00EF70C2"/>
    <w:rsid w:val="00EF7F48"/>
    <w:rsid w:val="00F0051A"/>
    <w:rsid w:val="00F00D18"/>
    <w:rsid w:val="00F01508"/>
    <w:rsid w:val="00F019EA"/>
    <w:rsid w:val="00F02D6A"/>
    <w:rsid w:val="00F02EC3"/>
    <w:rsid w:val="00F039F5"/>
    <w:rsid w:val="00F040E4"/>
    <w:rsid w:val="00F04E74"/>
    <w:rsid w:val="00F04E89"/>
    <w:rsid w:val="00F04EBE"/>
    <w:rsid w:val="00F056BD"/>
    <w:rsid w:val="00F05FD6"/>
    <w:rsid w:val="00F06A64"/>
    <w:rsid w:val="00F06B4F"/>
    <w:rsid w:val="00F06F6D"/>
    <w:rsid w:val="00F0720D"/>
    <w:rsid w:val="00F0740C"/>
    <w:rsid w:val="00F07E13"/>
    <w:rsid w:val="00F1047B"/>
    <w:rsid w:val="00F108A8"/>
    <w:rsid w:val="00F10B73"/>
    <w:rsid w:val="00F10F5A"/>
    <w:rsid w:val="00F11ADB"/>
    <w:rsid w:val="00F11C65"/>
    <w:rsid w:val="00F132DD"/>
    <w:rsid w:val="00F13379"/>
    <w:rsid w:val="00F14515"/>
    <w:rsid w:val="00F14536"/>
    <w:rsid w:val="00F15B7D"/>
    <w:rsid w:val="00F1678F"/>
    <w:rsid w:val="00F17E5D"/>
    <w:rsid w:val="00F17ECE"/>
    <w:rsid w:val="00F17F76"/>
    <w:rsid w:val="00F20176"/>
    <w:rsid w:val="00F20462"/>
    <w:rsid w:val="00F224E5"/>
    <w:rsid w:val="00F225AB"/>
    <w:rsid w:val="00F22C1B"/>
    <w:rsid w:val="00F25220"/>
    <w:rsid w:val="00F254E0"/>
    <w:rsid w:val="00F25A0E"/>
    <w:rsid w:val="00F25A41"/>
    <w:rsid w:val="00F26B64"/>
    <w:rsid w:val="00F27003"/>
    <w:rsid w:val="00F27D82"/>
    <w:rsid w:val="00F30E7C"/>
    <w:rsid w:val="00F318AF"/>
    <w:rsid w:val="00F31C06"/>
    <w:rsid w:val="00F3277A"/>
    <w:rsid w:val="00F3321F"/>
    <w:rsid w:val="00F33C73"/>
    <w:rsid w:val="00F351EB"/>
    <w:rsid w:val="00F36157"/>
    <w:rsid w:val="00F36619"/>
    <w:rsid w:val="00F37862"/>
    <w:rsid w:val="00F37942"/>
    <w:rsid w:val="00F4046A"/>
    <w:rsid w:val="00F41016"/>
    <w:rsid w:val="00F412BB"/>
    <w:rsid w:val="00F41B4E"/>
    <w:rsid w:val="00F425A9"/>
    <w:rsid w:val="00F42CF4"/>
    <w:rsid w:val="00F431CF"/>
    <w:rsid w:val="00F439C3"/>
    <w:rsid w:val="00F44A71"/>
    <w:rsid w:val="00F44D09"/>
    <w:rsid w:val="00F45673"/>
    <w:rsid w:val="00F458F2"/>
    <w:rsid w:val="00F45BDD"/>
    <w:rsid w:val="00F45E31"/>
    <w:rsid w:val="00F47588"/>
    <w:rsid w:val="00F4772E"/>
    <w:rsid w:val="00F5115C"/>
    <w:rsid w:val="00F518FB"/>
    <w:rsid w:val="00F51C05"/>
    <w:rsid w:val="00F51ECC"/>
    <w:rsid w:val="00F51F0A"/>
    <w:rsid w:val="00F52745"/>
    <w:rsid w:val="00F530DC"/>
    <w:rsid w:val="00F53A68"/>
    <w:rsid w:val="00F53FCC"/>
    <w:rsid w:val="00F55632"/>
    <w:rsid w:val="00F56A45"/>
    <w:rsid w:val="00F57CF7"/>
    <w:rsid w:val="00F57FFB"/>
    <w:rsid w:val="00F60260"/>
    <w:rsid w:val="00F60E11"/>
    <w:rsid w:val="00F61FE7"/>
    <w:rsid w:val="00F62C93"/>
    <w:rsid w:val="00F63193"/>
    <w:rsid w:val="00F64606"/>
    <w:rsid w:val="00F646E4"/>
    <w:rsid w:val="00F65E61"/>
    <w:rsid w:val="00F65E7E"/>
    <w:rsid w:val="00F66AD5"/>
    <w:rsid w:val="00F66BF9"/>
    <w:rsid w:val="00F67B58"/>
    <w:rsid w:val="00F713C7"/>
    <w:rsid w:val="00F723D5"/>
    <w:rsid w:val="00F72D90"/>
    <w:rsid w:val="00F73322"/>
    <w:rsid w:val="00F7396F"/>
    <w:rsid w:val="00F75956"/>
    <w:rsid w:val="00F75EFD"/>
    <w:rsid w:val="00F76728"/>
    <w:rsid w:val="00F76859"/>
    <w:rsid w:val="00F77035"/>
    <w:rsid w:val="00F779BE"/>
    <w:rsid w:val="00F77AF9"/>
    <w:rsid w:val="00F77C9C"/>
    <w:rsid w:val="00F77EB0"/>
    <w:rsid w:val="00F80A55"/>
    <w:rsid w:val="00F80CCE"/>
    <w:rsid w:val="00F813B0"/>
    <w:rsid w:val="00F813FB"/>
    <w:rsid w:val="00F81AF9"/>
    <w:rsid w:val="00F824D7"/>
    <w:rsid w:val="00F8290A"/>
    <w:rsid w:val="00F82A13"/>
    <w:rsid w:val="00F82A64"/>
    <w:rsid w:val="00F83EF2"/>
    <w:rsid w:val="00F83F24"/>
    <w:rsid w:val="00F84B82"/>
    <w:rsid w:val="00F84E4F"/>
    <w:rsid w:val="00F8557E"/>
    <w:rsid w:val="00F85A73"/>
    <w:rsid w:val="00F85DAB"/>
    <w:rsid w:val="00F87409"/>
    <w:rsid w:val="00F87D0E"/>
    <w:rsid w:val="00F87F55"/>
    <w:rsid w:val="00F9007D"/>
    <w:rsid w:val="00F9028F"/>
    <w:rsid w:val="00F9063A"/>
    <w:rsid w:val="00F9077A"/>
    <w:rsid w:val="00F90E39"/>
    <w:rsid w:val="00F91DD4"/>
    <w:rsid w:val="00F9305F"/>
    <w:rsid w:val="00F930D5"/>
    <w:rsid w:val="00F93459"/>
    <w:rsid w:val="00F934D0"/>
    <w:rsid w:val="00F9360F"/>
    <w:rsid w:val="00F93DBE"/>
    <w:rsid w:val="00F94333"/>
    <w:rsid w:val="00F94A36"/>
    <w:rsid w:val="00F9561A"/>
    <w:rsid w:val="00F957EB"/>
    <w:rsid w:val="00F9588E"/>
    <w:rsid w:val="00F95A0A"/>
    <w:rsid w:val="00F9656B"/>
    <w:rsid w:val="00F96751"/>
    <w:rsid w:val="00F973CB"/>
    <w:rsid w:val="00FA0351"/>
    <w:rsid w:val="00FA10FC"/>
    <w:rsid w:val="00FA1957"/>
    <w:rsid w:val="00FA25CE"/>
    <w:rsid w:val="00FA2EFB"/>
    <w:rsid w:val="00FA3DB9"/>
    <w:rsid w:val="00FA4F1D"/>
    <w:rsid w:val="00FA582B"/>
    <w:rsid w:val="00FA5AC3"/>
    <w:rsid w:val="00FA5EDA"/>
    <w:rsid w:val="00FA67E5"/>
    <w:rsid w:val="00FA6C66"/>
    <w:rsid w:val="00FA6FB5"/>
    <w:rsid w:val="00FA7165"/>
    <w:rsid w:val="00FA72DE"/>
    <w:rsid w:val="00FA7650"/>
    <w:rsid w:val="00FA773A"/>
    <w:rsid w:val="00FA79CF"/>
    <w:rsid w:val="00FA7A2C"/>
    <w:rsid w:val="00FA7D75"/>
    <w:rsid w:val="00FB00DD"/>
    <w:rsid w:val="00FB03DF"/>
    <w:rsid w:val="00FB123A"/>
    <w:rsid w:val="00FB1AE1"/>
    <w:rsid w:val="00FB1F6D"/>
    <w:rsid w:val="00FB3742"/>
    <w:rsid w:val="00FB38F1"/>
    <w:rsid w:val="00FB3A74"/>
    <w:rsid w:val="00FB4021"/>
    <w:rsid w:val="00FB572B"/>
    <w:rsid w:val="00FB5D3C"/>
    <w:rsid w:val="00FB6813"/>
    <w:rsid w:val="00FB6925"/>
    <w:rsid w:val="00FB7F9D"/>
    <w:rsid w:val="00FB7FC1"/>
    <w:rsid w:val="00FC0387"/>
    <w:rsid w:val="00FC154B"/>
    <w:rsid w:val="00FC1C81"/>
    <w:rsid w:val="00FC2D43"/>
    <w:rsid w:val="00FC44FC"/>
    <w:rsid w:val="00FC5634"/>
    <w:rsid w:val="00FC5A0A"/>
    <w:rsid w:val="00FC613D"/>
    <w:rsid w:val="00FC616A"/>
    <w:rsid w:val="00FC6541"/>
    <w:rsid w:val="00FC65BA"/>
    <w:rsid w:val="00FC705F"/>
    <w:rsid w:val="00FC7424"/>
    <w:rsid w:val="00FD0B87"/>
    <w:rsid w:val="00FD1BD4"/>
    <w:rsid w:val="00FD269A"/>
    <w:rsid w:val="00FD4950"/>
    <w:rsid w:val="00FD515D"/>
    <w:rsid w:val="00FD6051"/>
    <w:rsid w:val="00FD6B5D"/>
    <w:rsid w:val="00FD6EBB"/>
    <w:rsid w:val="00FD71B5"/>
    <w:rsid w:val="00FD78E4"/>
    <w:rsid w:val="00FE16DB"/>
    <w:rsid w:val="00FE191A"/>
    <w:rsid w:val="00FE1C61"/>
    <w:rsid w:val="00FE23B8"/>
    <w:rsid w:val="00FE32FA"/>
    <w:rsid w:val="00FE461B"/>
    <w:rsid w:val="00FE4997"/>
    <w:rsid w:val="00FE5032"/>
    <w:rsid w:val="00FE5578"/>
    <w:rsid w:val="00FE5B49"/>
    <w:rsid w:val="00FE65C7"/>
    <w:rsid w:val="00FE6834"/>
    <w:rsid w:val="00FE7992"/>
    <w:rsid w:val="00FF00B4"/>
    <w:rsid w:val="00FF06A7"/>
    <w:rsid w:val="00FF0F78"/>
    <w:rsid w:val="00FF16B9"/>
    <w:rsid w:val="00FF2800"/>
    <w:rsid w:val="00FF3255"/>
    <w:rsid w:val="00FF44C4"/>
    <w:rsid w:val="00FF4505"/>
    <w:rsid w:val="00FF4D00"/>
    <w:rsid w:val="00FF4EF7"/>
    <w:rsid w:val="00FF5FAB"/>
    <w:rsid w:val="00FF6E33"/>
    <w:rsid w:val="00FF706C"/>
    <w:rsid w:val="00FF767D"/>
    <w:rsid w:val="00FF7BC4"/>
    <w:rsid w:val="00FF7BC8"/>
    <w:rsid w:val="00FF7CE9"/>
    <w:rsid w:val="00FF7E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CAF24"/>
  <w15:docId w15:val="{644A8DC7-8E33-46DF-B6C0-11FAD856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735C4"/>
    <w:pPr>
      <w:tabs>
        <w:tab w:val="left" w:pos="936"/>
        <w:tab w:val="left" w:pos="1560"/>
        <w:tab w:val="left" w:pos="2184"/>
        <w:tab w:val="left" w:pos="2808"/>
      </w:tabs>
      <w:overflowPunct w:val="0"/>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897614"/>
    <w:pPr>
      <w:jc w:val="center"/>
    </w:pPr>
    <w:rPr>
      <w:rFonts w:eastAsia="華康中黑體"/>
      <w:szCs w:val="24"/>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1020BD"/>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semiHidden/>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character" w:styleId="afff4">
    <w:name w:val="annotation reference"/>
    <w:uiPriority w:val="99"/>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character" w:customStyle="1" w:styleId="18">
    <w:name w:val="未解析的提及1"/>
    <w:basedOn w:val="a3"/>
    <w:uiPriority w:val="99"/>
    <w:semiHidden/>
    <w:unhideWhenUsed/>
    <w:rsid w:val="00054128"/>
    <w:rPr>
      <w:color w:val="605E5C"/>
      <w:shd w:val="clear" w:color="auto" w:fill="E1DFDD"/>
    </w:rPr>
  </w:style>
  <w:style w:type="character" w:customStyle="1" w:styleId="121">
    <w:name w:val="標題12 字元"/>
    <w:link w:val="120"/>
    <w:rsid w:val="002462CD"/>
    <w:rPr>
      <w:rFonts w:ascii="Times New Roman" w:eastAsia="華康中黑體" w:hAnsi="Times New Roman" w:cs="Times New Roman"/>
      <w:spacing w:val="30"/>
      <w:kern w:val="0"/>
      <w:szCs w:val="20"/>
    </w:rPr>
  </w:style>
  <w:style w:type="paragraph" w:styleId="HTML">
    <w:name w:val="HTML Preformatted"/>
    <w:basedOn w:val="a1"/>
    <w:link w:val="HTML0"/>
    <w:uiPriority w:val="99"/>
    <w:semiHidden/>
    <w:unhideWhenUsed/>
    <w:rsid w:val="00E067B7"/>
    <w:rPr>
      <w:rFonts w:ascii="Courier New" w:hAnsi="Courier New" w:cs="Courier New"/>
      <w:sz w:val="20"/>
    </w:rPr>
  </w:style>
  <w:style w:type="character" w:customStyle="1" w:styleId="HTML0">
    <w:name w:val="HTML 預設格式 字元"/>
    <w:basedOn w:val="a3"/>
    <w:link w:val="HTML"/>
    <w:uiPriority w:val="99"/>
    <w:semiHidden/>
    <w:rsid w:val="00E067B7"/>
    <w:rPr>
      <w:rFonts w:ascii="Courier New" w:eastAsia="華康細明體" w:hAnsi="Courier New" w:cs="Courier New"/>
      <w:spacing w:val="30"/>
      <w:kern w:val="0"/>
      <w:sz w:val="20"/>
      <w:szCs w:val="20"/>
    </w:rPr>
  </w:style>
  <w:style w:type="character" w:customStyle="1" w:styleId="normaltextrun">
    <w:name w:val="normaltextrun"/>
    <w:basedOn w:val="a3"/>
    <w:rsid w:val="00F05FD6"/>
  </w:style>
  <w:style w:type="character" w:customStyle="1" w:styleId="fontsize11">
    <w:name w:val="fontsize11"/>
    <w:basedOn w:val="a3"/>
    <w:rsid w:val="002F2FB6"/>
    <w:rPr>
      <w:spacing w:val="1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641448">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561093973">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10462594">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BA5BD-39C8-4DB6-AF59-53E118DDF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1589</Words>
  <Characters>9060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7</cp:revision>
  <cp:lastPrinted>2026-02-12T06:53:00Z</cp:lastPrinted>
  <dcterms:created xsi:type="dcterms:W3CDTF">2026-02-13T06:32:00Z</dcterms:created>
  <dcterms:modified xsi:type="dcterms:W3CDTF">2026-02-13T08:13:00Z</dcterms:modified>
</cp:coreProperties>
</file>